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Performance</w:t>
      </w:r>
    </w:p>
    <w:bookmarkStart w:id="27" w:name="Xd92916e9c539a8f2e9a9e07b312143d427b889e"/>
    <w:p>
      <w:pPr>
        <w:pStyle w:val="Heading1"/>
      </w:pPr>
      <w:r>
        <w:t xml:space="preserve">Sales Report: Welder Equipment and Services in Kuwait City Market (Q1-Q3 2024)</w:t>
      </w:r>
    </w:p>
    <w:p>
      <w:pPr>
        <w:pStyle w:val="FirstParagraph"/>
      </w:pPr>
      <w:r>
        <w:rPr>
          <w:bCs/>
          <w:b/>
        </w:rPr>
        <w:t xml:space="preserve">Prepared For:</w:t>
      </w:r>
      <w:r>
        <w:t xml:space="preserve"> </w:t>
      </w:r>
      <w:r>
        <w:t xml:space="preserve">Executive Leadership, Regional Sales Directorate</w:t>
      </w:r>
      <w:r>
        <w:br/>
      </w:r>
      <w:r>
        <w:rPr>
          <w:bCs/>
          <w:b/>
        </w:rPr>
        <w:t xml:space="preserve">Date:</w:t>
      </w:r>
      <w:r>
        <w:t xml:space="preserve"> </w:t>
      </w:r>
      <w:r>
        <w:t xml:space="preserve">October 26, 2024</w:t>
      </w:r>
      <w:r>
        <w:br/>
      </w:r>
      <w:r>
        <w:rPr>
          <w:bCs/>
          <w:b/>
        </w:rPr>
        <w:t xml:space="preserve">Subject:</w:t>
      </w:r>
      <w:r>
        <w:t xml:space="preserve"> </w:t>
      </w:r>
      <w:r>
        <w:t xml:space="preserve">Comprehensive Analysis of Welder Demand and Sales Performance in Kuwait City</w:t>
      </w:r>
    </w:p>
    <w:bookmarkStart w:id="20" w:name="i.-executive-summary"/>
    <w:p>
      <w:pPr>
        <w:pStyle w:val="Heading2"/>
      </w:pPr>
      <w:r>
        <w:t xml:space="preserve">I. Executive Summary</w:t>
      </w:r>
    </w:p>
    <w:p>
      <w:pPr>
        <w:pStyle w:val="FirstParagraph"/>
      </w:pPr>
      <w:r>
        <w:t xml:space="preserve">This Sales Report details the performance of industrial welding equipment and services within Kuwait City, the economic heartland of Kuwait. The market for advanced welding solutions has demonstrated robust growth, driven by accelerated infrastructure development under Kuwait Vision 2035. Total sales for welder systems (including MIG, TIG, and automated welding equipment) reached $4.78M in Q1-Q3 2024—a 19% year-on-year increase—significantly outpacing the national industrial average. Kuwait City remains the undisputed epicenter of this demand, accounting for 78% of all welder sales across Kuwait. This report confirms that strategic investment in high-performance welder solutions is critical to capturing market share in Kuwait City's rapidly evolving industrial landscape.</w:t>
      </w:r>
    </w:p>
    <w:bookmarkEnd w:id="20"/>
    <w:bookmarkStart w:id="21" w:name="X6ef21e795e2489cf72b7e6ff7a9b1acfcef98fe"/>
    <w:p>
      <w:pPr>
        <w:pStyle w:val="Heading2"/>
      </w:pPr>
      <w:r>
        <w:t xml:space="preserve">II. Market Context: Why Welders Are Central to Kuwait City's Growth</w:t>
      </w:r>
    </w:p>
    <w:p>
      <w:pPr>
        <w:pStyle w:val="FirstParagraph"/>
      </w:pPr>
      <w:r>
        <w:t xml:space="preserve">Kuwait City is undergoing an unprecedented construction and industrial modernization phase, with projects like the Al Zour Power Plant Expansion, Mubarak Al-Kabeer Port Development, and multiple refinery upgrades demanding specialized welding expertise. The local requirement for precision welders has intensified due to:</w:t>
      </w:r>
    </w:p>
    <w:p>
      <w:pPr>
        <w:numPr>
          <w:ilvl w:val="0"/>
          <w:numId w:val="1001"/>
        </w:numPr>
        <w:pStyle w:val="Compact"/>
      </w:pPr>
      <w:r>
        <w:t xml:space="preserve">Stringent oil &amp; gas safety standards mandated by the Kuwait Oil Company (KOC) for new pipeline networks in Kuwait City's industrial corridors.</w:t>
      </w:r>
    </w:p>
    <w:p>
      <w:pPr>
        <w:numPr>
          <w:ilvl w:val="0"/>
          <w:numId w:val="1001"/>
        </w:numPr>
        <w:pStyle w:val="Compact"/>
      </w:pPr>
      <w:r>
        <w:t xml:space="preserve">Government incentives for local manufacturing, driving demand for automated welding systems in factories along the Mubarak Al-Kabeer Road industrial zone.</w:t>
      </w:r>
    </w:p>
    <w:p>
      <w:pPr>
        <w:numPr>
          <w:ilvl w:val="0"/>
          <w:numId w:val="1001"/>
        </w:numPr>
        <w:pStyle w:val="Compact"/>
      </w:pPr>
      <w:r>
        <w:t xml:space="preserve">Rising need for corrosion-resistant welds due to Kuwait City's coastal climate, necessitating advanced TIG and flux-cored welder technologies.</w:t>
      </w:r>
    </w:p>
    <w:p>
      <w:pPr>
        <w:pStyle w:val="FirstParagraph"/>
      </w:pPr>
      <w:r>
        <w:t xml:space="preserve">Without reliable, high-output welders, key projects in Kuwait City face critical delays. This underscores why the Sales Report must prioritize "Welder" as the core product category driving our regional revenue.</w:t>
      </w:r>
    </w:p>
    <w:bookmarkEnd w:id="21"/>
    <w:bookmarkStart w:id="22" w:name="X653b08c96a4e463b89e16fabe4d67f4463fceb6"/>
    <w:p>
      <w:pPr>
        <w:pStyle w:val="Heading2"/>
      </w:pPr>
      <w:r>
        <w:t xml:space="preserve">III. Sales Performance Analysis: Kuwait City Focus</w:t>
      </w:r>
    </w:p>
    <w:p>
      <w:pPr>
        <w:pStyle w:val="FirstParagraph"/>
      </w:pPr>
      <w:r>
        <w:t xml:space="preserve">Product Category</w:t>
      </w:r>
    </w:p>
    <w:p>
      <w:pPr>
        <w:pStyle w:val="BodyText"/>
      </w:pPr>
      <w:r>
        <w:t xml:space="preserve">Q3 2023 Sales ($)</w:t>
      </w:r>
    </w:p>
    <w:p>
      <w:pPr>
        <w:pStyle w:val="BodyText"/>
      </w:pPr>
      <w:r>
        <w:t xml:space="preserve">Q3 2024 Sales ($)</w:t>
      </w:r>
    </w:p>
    <w:p>
      <w:pPr>
        <w:pStyle w:val="BodyText"/>
      </w:pPr>
      <w:r>
        <w:t xml:space="preserve">% Change</w:t>
      </w:r>
    </w:p>
    <w:p>
      <w:pPr>
        <w:pStyle w:val="BodyText"/>
      </w:pPr>
      <w:r>
        <w:t xml:space="preserve">Kuwait City Contribution</w:t>
      </w:r>
    </w:p>
    <w:p>
      <w:pPr>
        <w:pStyle w:val="BodyText"/>
      </w:pPr>
      <w:r>
        <w:t xml:space="preserve">MIG Welders (Industrial Grade)</w:t>
      </w:r>
    </w:p>
    <w:p>
      <w:pPr>
        <w:pStyle w:val="BodyText"/>
      </w:pPr>
      <w:r>
        <w:t xml:space="preserve">850,000</w:t>
      </w:r>
    </w:p>
    <w:p>
      <w:pPr>
        <w:pStyle w:val="BodyText"/>
      </w:pPr>
      <w:r>
        <w:t xml:space="preserve">1,245,000</w:t>
      </w:r>
    </w:p>
    <w:p>
      <w:pPr>
        <w:pStyle w:val="BodyText"/>
      </w:pPr>
      <w:r>
        <w:t xml:space="preserve">+46.5%</w:t>
      </w:r>
    </w:p>
    <w:p>
      <w:pPr>
        <w:pStyle w:val="BodyText"/>
      </w:pPr>
      <w:r>
        <w:t xml:space="preserve">79.3%</w:t>
      </w:r>
    </w:p>
    <w:p>
      <w:pPr>
        <w:pStyle w:val="BodyText"/>
      </w:pPr>
      <w:r>
        <w:t xml:space="preserve">TIG Welders (Precision)</w:t>
      </w:r>
    </w:p>
    <w:p>
      <w:pPr>
        <w:pStyle w:val="BodyText"/>
      </w:pPr>
      <w:r>
        <w:t xml:space="preserve">320,000</w:t>
      </w:r>
    </w:p>
    <w:p>
      <w:pPr>
        <w:pStyle w:val="BodyText"/>
      </w:pPr>
      <w:r>
        <w:t xml:space="preserve">Total</w:t>
      </w:r>
    </w:p>
    <w:p>
      <w:pPr>
        <w:pStyle w:val="BodyText"/>
      </w:pPr>
      <w:r>
        <w:t xml:space="preserve">1,584,500</w:t>
      </w:r>
    </w:p>
    <w:p>
      <w:pPr>
        <w:pStyle w:val="BodyText"/>
      </w:pPr>
      <w:r>
        <w:t xml:space="preserve">2,419,257</w:t>
      </w:r>
    </w:p>
    <w:p>
      <w:pPr>
        <w:pStyle w:val="BodyText"/>
      </w:pPr>
      <w:r>
        <w:t xml:space="preserve">+52.7%</w:t>
      </w:r>
    </w:p>
    <w:p>
      <w:pPr>
        <w:pStyle w:val="BodyText"/>
      </w:pPr>
      <w:r>
        <w:t xml:space="preserve">76.1%</w:t>
      </w:r>
    </w:p>
    <w:p>
      <w:pPr>
        <w:pStyle w:val="BodyText"/>
      </w:pPr>
      <w:r>
        <w:t xml:space="preserve">The data above reflects a 38% surge in Kuwait City-specific welder sales compared to the previous year. Notably, MIG welders dominated sales due to their application in shipyard repairs at Mina Al Ahmadi (serving Kuwait City's logistics hub) and structural steelwork for the New Capital City masterplan. TIG welders saw a 27% increase, fueled by demand from KOC's refinery maintenance contracts in the Kuwait City vicinity.</w:t>
      </w:r>
    </w:p>
    <w:bookmarkEnd w:id="22"/>
    <w:bookmarkStart w:id="23" w:name="iv.-competitive-landscape-in-kuwait-city"/>
    <w:p>
      <w:pPr>
        <w:pStyle w:val="Heading2"/>
      </w:pPr>
      <w:r>
        <w:t xml:space="preserve">IV. Competitive Landscape in Kuwait City</w:t>
      </w:r>
    </w:p>
    <w:p>
      <w:pPr>
        <w:pStyle w:val="FirstParagraph"/>
      </w:pPr>
      <w:r>
        <w:t xml:space="preserve">Kuwait City’s welding equipment market is fiercely competitive, with local distributors like Al-Rashid Welding Supplies and international players such as Lincoln Electric holding significant share. However, our differentiated positioning—offering on-site technician support during Kuwait's summer peak (40°C+), certified welder training programs aligned with KOC standards, and warranty packages covering sandstorm damage—has secured us a 28% market share in the industrial segment. The Sales Report confirms that these value-added services directly correlate with higher customer retention rates (89%) among Kuwait City clients compared to competitors (65%).</w:t>
      </w:r>
    </w:p>
    <w:bookmarkEnd w:id="23"/>
    <w:bookmarkStart w:id="24" w:name="X3c7645ac3869e56bb147cb50a78e44d82e69289"/>
    <w:p>
      <w:pPr>
        <w:pStyle w:val="Heading2"/>
      </w:pPr>
      <w:r>
        <w:t xml:space="preserve">V. Key Challenges &amp; Opportunities in Kuwait City</w:t>
      </w:r>
    </w:p>
    <w:p>
      <w:pPr>
        <w:pStyle w:val="FirstParagraph"/>
      </w:pPr>
      <w:r>
        <w:rPr>
          <w:bCs/>
          <w:b/>
        </w:rPr>
        <w:t xml:space="preserve">Challenges:</w:t>
      </w:r>
      <w:r>
        <w:t xml:space="preserve"> </w:t>
      </w:r>
      <w:r>
        <w:t xml:space="preserve">• High import duties on premium welder components hinder cost competitiveness.</w:t>
      </w:r>
      <w:r>
        <w:t xml:space="preserve"> </w:t>
      </w:r>
      <w:r>
        <w:t xml:space="preserve">• Shortage of certified welders in Kuwait City’s workforce, causing project delays that affect equipment utilization rates.</w:t>
      </w:r>
    </w:p>
    <w:p>
      <w:pPr>
        <w:pStyle w:val="BodyText"/>
      </w:pPr>
      <w:r>
        <w:rPr>
          <w:bCs/>
          <w:b/>
        </w:rPr>
        <w:t xml:space="preserve">Opportunities:</w:t>
      </w:r>
      <w:r>
        <w:t xml:space="preserve"> </w:t>
      </w:r>
      <w:r>
        <w:t xml:space="preserve">• Partnership with the Kuwait Institute for Scientific Research (KISR) to develop sand-resistant welder prototypes for local conditions.</w:t>
      </w:r>
      <w:r>
        <w:t xml:space="preserve"> </w:t>
      </w:r>
      <w:r>
        <w:t xml:space="preserve">• Targeting upcoming projects like the Gulf Bridge Industrial Park expansion in Kuwait City, requiring 150+ new welding stations.</w:t>
      </w:r>
      <w:r>
        <w:t xml:space="preserve"> </w:t>
      </w:r>
      <w:r>
        <w:t xml:space="preserve">• Leveraging UAE-based distributor networks to reduce delivery times from Dubai to Kuwait City by 48 hours.</w:t>
      </w:r>
    </w:p>
    <w:bookmarkEnd w:id="24"/>
    <w:bookmarkStart w:id="25" w:name="X8f038c55a2d47925df534cec102a61105d08bf6"/>
    <w:p>
      <w:pPr>
        <w:pStyle w:val="Heading2"/>
      </w:pPr>
      <w:r>
        <w:t xml:space="preserve">VI. Strategic Recommendations for Continued Growth</w:t>
      </w:r>
    </w:p>
    <w:p>
      <w:pPr>
        <w:pStyle w:val="FirstParagraph"/>
      </w:pPr>
      <w:r>
        <w:t xml:space="preserve">Based on this Sales Report analysis, we propose the following actions specific to the Kuwait City market:</w:t>
      </w:r>
    </w:p>
    <w:p>
      <w:pPr>
        <w:numPr>
          <w:ilvl w:val="0"/>
          <w:numId w:val="1002"/>
        </w:numPr>
        <w:pStyle w:val="Compact"/>
      </w:pPr>
      <w:r>
        <w:rPr>
          <w:bCs/>
          <w:b/>
        </w:rPr>
        <w:t xml:space="preserve">Expand Local Service Hubs:</w:t>
      </w:r>
      <w:r>
        <w:t xml:space="preserve"> </w:t>
      </w:r>
      <w:r>
        <w:t xml:space="preserve">Open a dedicated maintenance center in Kuwait City’s Al Shuwaikh Industrial Area by Q1 2025 to reduce downtime for clients using our welders during peak project seasons.</w:t>
      </w:r>
    </w:p>
    <w:p>
      <w:pPr>
        <w:numPr>
          <w:ilvl w:val="0"/>
          <w:numId w:val="1002"/>
        </w:numPr>
        <w:pStyle w:val="Compact"/>
      </w:pPr>
      <w:r>
        <w:rPr>
          <w:bCs/>
          <w:b/>
        </w:rPr>
        <w:t xml:space="preserve">Certification Partnerships:</w:t>
      </w:r>
      <w:r>
        <w:t xml:space="preserve"> </w:t>
      </w:r>
      <w:r>
        <w:t xml:space="preserve">Collaborate with the Ministry of Oil and KOC to co-develop a certified welder training program, positioning our brand as the standard-bearer for technical excellence in Kuwait City's industrial ecosystem.</w:t>
      </w:r>
    </w:p>
    <w:p>
      <w:pPr>
        <w:numPr>
          <w:ilvl w:val="0"/>
          <w:numId w:val="1002"/>
        </w:numPr>
        <w:pStyle w:val="Compact"/>
      </w:pPr>
      <w:r>
        <w:rPr>
          <w:bCs/>
          <w:b/>
        </w:rPr>
        <w:t xml:space="preserve">Product Localization:</w:t>
      </w:r>
      <w:r>
        <w:t xml:space="preserve"> </w:t>
      </w:r>
      <w:r>
        <w:t xml:space="preserve">Adapt MIG welders for extreme humidity (common near Kuwait City's coastline) by integrating anti-corrosion coatings—addressing a key pain point identified in 67% of client feedback surveys.</w:t>
      </w:r>
    </w:p>
    <w:bookmarkEnd w:id="25"/>
    <w:bookmarkStart w:id="26" w:name="vii.-conclusion"/>
    <w:p>
      <w:pPr>
        <w:pStyle w:val="Heading2"/>
      </w:pPr>
      <w:r>
        <w:t xml:space="preserve">VII. Conclusion</w:t>
      </w:r>
    </w:p>
    <w:p>
      <w:pPr>
        <w:pStyle w:val="FirstParagraph"/>
      </w:pPr>
      <w:r>
        <w:t xml:space="preserve">The data unequivocally confirms that Kuwait City is the primary growth engine for our welder business across Kuwait. The convergence of Vision 2035 projects, KOC's capital expenditure on infrastructure, and the city's strategic role as a regional logistics hub has made "Welder" a non-negotiable product category for industrial success. This Sales Report demonstrates that proactive investment in Kuwait City-specific solutions—not just equipment but localized support—will solidify our market leadership. We project 2024 full-year welder sales in Kuwait City to reach $6.5M, representing a 35% YoY increase and cementing this city as our flagship regional revenue center.</w:t>
      </w:r>
    </w:p>
    <w:p>
      <w:pPr>
        <w:pStyle w:val="BodyText"/>
      </w:pPr>
      <w:r>
        <w:rPr>
          <w:bCs/>
          <w:b/>
        </w:rPr>
        <w:t xml:space="preserve">Next Steps:</w:t>
      </w:r>
      <w:r>
        <w:t xml:space="preserve"> </w:t>
      </w:r>
      <w:r>
        <w:t xml:space="preserve">Present detailed budget for Kuwait City service hub expansion to the Board by November 15, 2024. All sales teams will receive updated product training on humidity-resistant welder models before the Q4 construction surge.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Kuwait City Market Performance</dc:title>
  <dc:creator/>
  <dc:language>en</dc:language>
  <cp:keywords/>
  <dcterms:created xsi:type="dcterms:W3CDTF">2026-07-21T14:37:59Z</dcterms:created>
  <dcterms:modified xsi:type="dcterms:W3CDTF">2026-07-21T14:37:59Z</dcterms:modified>
</cp:coreProperties>
</file>

<file path=docProps/custom.xml><?xml version="1.0" encoding="utf-8"?>
<Properties xmlns="http://schemas.openxmlformats.org/officeDocument/2006/custom-properties" xmlns:vt="http://schemas.openxmlformats.org/officeDocument/2006/docPropsVTypes"/>
</file>