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5fac9a0de9492df2daef16ab8cd46a4ad876829"/>
    <w:p>
      <w:pPr>
        <w:pStyle w:val="Heading1"/>
      </w:pPr>
      <w:r>
        <w:t xml:space="preserve">Comprehensive Sales Report: Welder Performance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Division</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performance of welding equipment sales across Malaysia Kuala Lumpur during Q3 2023. The data reveals a robust market for industrial</w:t>
      </w:r>
      <w:r>
        <w:t xml:space="preserve"> </w:t>
      </w:r>
      <w:r>
        <w:rPr>
          <w:bCs/>
          <w:b/>
        </w:rPr>
        <w:t xml:space="preserve">Welder</w:t>
      </w:r>
      <w:r>
        <w:t xml:space="preserve"> </w:t>
      </w:r>
      <w:r>
        <w:t xml:space="preserve">solutions, driven by accelerated infrastructure development and manufacturing sector growth in the Klang Valley. Total</w:t>
      </w:r>
      <w:r>
        <w:t xml:space="preserve"> </w:t>
      </w:r>
      <w:r>
        <w:rPr>
          <w:bCs/>
          <w:b/>
        </w:rPr>
        <w:t xml:space="preserve">Welder</w:t>
      </w:r>
      <w:r>
        <w:t xml:space="preserve"> </w:t>
      </w:r>
      <w:r>
        <w:t xml:space="preserve">unit sales increased by 18.7% compared to Q2, reaching RM 14.2 million—a significant indicator of confidence in KL's industrial ecosystem. This document serves as a critical analysis tool for strategic decision-making regarding our welding technology portfolio within the Malaysia Kuala Lumpur market.</w:t>
      </w:r>
    </w:p>
    <w:bookmarkEnd w:id="20"/>
    <w:bookmarkStart w:id="21" w:name="Xb0c40561fadb91166625124b8aceb4c021a1d0f"/>
    <w:p>
      <w:pPr>
        <w:pStyle w:val="Heading2"/>
      </w:pPr>
      <w:r>
        <w:t xml:space="preserve">II. Market Context: Welder Demand in Kuala Lumpur</w:t>
      </w:r>
    </w:p>
    <w:p>
      <w:pPr>
        <w:pStyle w:val="FirstParagraph"/>
      </w:pPr>
      <w:r>
        <w:t xml:space="preserve">Kuala Lumpur continues to solidify its position as Malaysia's industrial and construction hub, with the government's National Infrastructure Plan (NIP) and Penang-Singapore Economic Corridor initiatives fueling demand for high-precision welding equipment. The manufacturing sector—particularly automotive, shipbuilding, and energy—reports a 23% YoY increase in production capacity, directly correlating to elevated</w:t>
      </w:r>
      <w:r>
        <w:t xml:space="preserve"> </w:t>
      </w:r>
      <w:r>
        <w:rPr>
          <w:bCs/>
          <w:b/>
        </w:rPr>
        <w:t xml:space="preserve">Welder</w:t>
      </w:r>
      <w:r>
        <w:t xml:space="preserve"> </w:t>
      </w:r>
      <w:r>
        <w:t xml:space="preserve">procurement needs. In Malaysia Kuala Lumpur alone, the construction sector accounted for 41% of total</w:t>
      </w:r>
      <w:r>
        <w:t xml:space="preserve"> </w:t>
      </w:r>
      <w:r>
        <w:rPr>
          <w:bCs/>
          <w:b/>
        </w:rPr>
        <w:t xml:space="preserve">Welder</w:t>
      </w:r>
      <w:r>
        <w:t xml:space="preserve"> </w:t>
      </w:r>
      <w:r>
        <w:t xml:space="preserve">sales in Q3, with major projects like MRT Line 3 and KL Sentral expansions driving equipment requirements. Notably, the adoption of advanced MIG/TIG</w:t>
      </w:r>
      <w:r>
        <w:t xml:space="preserve"> </w:t>
      </w:r>
      <w:r>
        <w:rPr>
          <w:bCs/>
          <w:b/>
        </w:rPr>
        <w:t xml:space="preserve">Welder</w:t>
      </w:r>
      <w:r>
        <w:t xml:space="preserve"> </w:t>
      </w:r>
      <w:r>
        <w:t xml:space="preserve">systems surged by 32% as contractors prioritize efficiency and compliance with new safety standards.</w:t>
      </w:r>
    </w:p>
    <w:bookmarkEnd w:id="21"/>
    <w:bookmarkStart w:id="22" w:name="iii.-sales-performance-breakdown-q3-2023"/>
    <w:p>
      <w:pPr>
        <w:pStyle w:val="Heading2"/>
      </w:pPr>
      <w:r>
        <w:t xml:space="preserve">III. Sales Performance Breakdown (Q3 2023)</w:t>
      </w:r>
    </w:p>
    <w:p>
      <w:pPr>
        <w:pStyle w:val="FirstParagraph"/>
      </w:pPr>
      <w:r>
        <w:t xml:space="preserve">Product Category</w:t>
      </w:r>
    </w:p>
    <w:p>
      <w:pPr>
        <w:pStyle w:val="BodyText"/>
      </w:pPr>
      <w:r>
        <w:t xml:space="preserve">Units Sold</w:t>
      </w:r>
    </w:p>
    <w:p>
      <w:pPr>
        <w:pStyle w:val="BodyText"/>
      </w:pPr>
      <w:r>
        <w:t xml:space="preserve">% of Total Sales</w:t>
      </w:r>
    </w:p>
    <w:p>
      <w:pPr>
        <w:pStyle w:val="BodyText"/>
      </w:pPr>
      <w:r>
        <w:t xml:space="preserve">YoY Change</w:t>
      </w:r>
    </w:p>
    <w:p>
      <w:pPr>
        <w:pStyle w:val="BodyText"/>
      </w:pPr>
      <w:r>
        <w:t xml:space="preserve">Portable MIG Welders (15-200A)</w:t>
      </w:r>
    </w:p>
    <w:p>
      <w:pPr>
        <w:pStyle w:val="BodyText"/>
      </w:pPr>
      <w:r>
        <w:t xml:space="preserve">487</w:t>
      </w:r>
    </w:p>
    <w:p>
      <w:pPr>
        <w:pStyle w:val="BodyText"/>
      </w:pPr>
      <w:r>
        <w:t xml:space="preserve">39.2%</w:t>
      </w:r>
    </w:p>
    <w:p>
      <w:pPr>
        <w:pStyle w:val="BodyText"/>
      </w:pPr>
      <w:r>
        <w:t xml:space="preserve">+27.4%</w:t>
      </w:r>
    </w:p>
    <w:p>
      <w:pPr>
        <w:pStyle w:val="BodyText"/>
      </w:pPr>
      <w:r>
        <w:t xml:space="preserve">Industrial TIG Welders (100-350A)</w:t>
      </w:r>
    </w:p>
    <w:p>
      <w:pPr>
        <w:pStyle w:val="BodyText"/>
      </w:pPr>
      <w:r>
        <w:t xml:space="preserve">315</w:t>
      </w:r>
    </w:p>
    <w:p>
      <w:pPr>
        <w:pStyle w:val="BodyText"/>
      </w:pPr>
      <w:r>
        <w:t xml:space="preserve">25.4%</w:t>
      </w:r>
    </w:p>
    <w:p>
      <w:pPr>
        <w:pStyle w:val="BodyText"/>
      </w:pPr>
      <w:r>
        <w:t xml:space="preserve">+18.9%</w:t>
      </w:r>
    </w:p>
    <w:p>
      <w:pPr>
        <w:pStyle w:val="BodyText"/>
      </w:pPr>
      <w:r>
        <w:t xml:space="preserve">Automatic Robotic Welders</w:t>
      </w:r>
    </w:p>
    <w:p>
      <w:pPr>
        <w:pStyle w:val="BodyText"/>
      </w:pPr>
      <w:r>
        <w:t xml:space="preserve">68</w:t>
      </w:r>
    </w:p>
    <w:p>
      <w:pPr>
        <w:pStyle w:val="BodyText"/>
      </w:pPr>
      <w:r>
        <w:t xml:space="preserve">12.7%</w:t>
      </w:r>
    </w:p>
    <w:p>
      <w:pPr>
        <w:pStyle w:val="BodyText"/>
      </w:pPr>
      <w:r>
        <w:t xml:space="preserve">+45.6%</w:t>
      </w:r>
    </w:p>
    <w:p>
      <w:pPr>
        <w:pStyle w:val="BodyText"/>
      </w:pPr>
      <w:r>
        <w:t xml:space="preserve">Welding Accessories &amp; Consumables</w:t>
      </w:r>
    </w:p>
    <w:p>
      <w:pPr>
        <w:pStyle w:val="BodyText"/>
      </w:pPr>
      <w:r>
        <w:t xml:space="preserve">352</w:t>
      </w:r>
    </w:p>
    <w:p>
      <w:pPr>
        <w:pStyle w:val="BodyText"/>
      </w:pPr>
      <w:r>
        <w:t xml:space="preserve">22.7%</w:t>
      </w:r>
    </w:p>
    <w:p>
      <w:pPr>
        <w:pStyle w:val="BodyText"/>
      </w:pPr>
      <w:r>
        <w:t xml:space="preserve">+15.3%</w:t>
      </w:r>
    </w:p>
    <w:p>
      <w:pPr>
        <w:pStyle w:val="BodyText"/>
      </w:pPr>
      <w:r>
        <w:t xml:space="preserve">The standout performer was portable MIG</w:t>
      </w:r>
      <w:r>
        <w:t xml:space="preserve"> </w:t>
      </w:r>
      <w:r>
        <w:rPr>
          <w:bCs/>
          <w:b/>
        </w:rPr>
        <w:t xml:space="preserve">Welder</w:t>
      </w:r>
      <w:r>
        <w:t xml:space="preserve"> </w:t>
      </w:r>
      <w:r>
        <w:t xml:space="preserve">systems, which dominated sales due to their versatility in high-volume construction sites across Malaysia Kuala Lumpur. The 45.6% surge in robotic</w:t>
      </w:r>
      <w:r>
        <w:t xml:space="preserve"> </w:t>
      </w:r>
      <w:r>
        <w:rPr>
          <w:bCs/>
          <w:b/>
        </w:rPr>
        <w:t xml:space="preserve">Welder</w:t>
      </w:r>
      <w:r>
        <w:t xml:space="preserve"> </w:t>
      </w:r>
      <w:r>
        <w:t xml:space="preserve">demand reflects manufacturing clients' strategic shift toward automation—particularly in automotive suppliers near KL's industrial zones like Shah Alam and Petaling Jaya.</w:t>
      </w:r>
    </w:p>
    <w:bookmarkEnd w:id="22"/>
    <w:bookmarkStart w:id="23" w:name="iv.-key-customer-insights"/>
    <w:p>
      <w:pPr>
        <w:pStyle w:val="Heading2"/>
      </w:pPr>
      <w:r>
        <w:t xml:space="preserve">IV. Key Customer Insights</w:t>
      </w:r>
    </w:p>
    <w:p>
      <w:pPr>
        <w:pStyle w:val="FirstParagraph"/>
      </w:pPr>
      <w:r>
        <w:t xml:space="preserve">Our analysis of Malaysia Kuala Lumpur sales data identifies three core customer segments:</w:t>
      </w:r>
    </w:p>
    <w:p>
      <w:pPr>
        <w:numPr>
          <w:ilvl w:val="0"/>
          <w:numId w:val="1001"/>
        </w:numPr>
        <w:pStyle w:val="Compact"/>
      </w:pPr>
      <w:r>
        <w:rPr>
          <w:bCs/>
          <w:b/>
        </w:rPr>
        <w:t xml:space="preserve">Construction Giants (58% of Sales):</w:t>
      </w:r>
      <w:r>
        <w:t xml:space="preserve"> </w:t>
      </w:r>
      <w:r>
        <w:t xml:space="preserve">Companies like Sime Darby Construction and Gamuda engaged for MIG systems on high-rises (e.g., The Exchange TRX) and transport infrastructure. Feedback emphasized portability as critical for site mobility in KL's dense urban landscape.</w:t>
      </w:r>
    </w:p>
    <w:p>
      <w:pPr>
        <w:numPr>
          <w:ilvl w:val="0"/>
          <w:numId w:val="1001"/>
        </w:numPr>
        <w:pStyle w:val="Compact"/>
      </w:pPr>
      <w:r>
        <w:rPr>
          <w:bCs/>
          <w:b/>
        </w:rPr>
        <w:t xml:space="preserve">Manufacturing OEMs (29% of Sales):</w:t>
      </w:r>
      <w:r>
        <w:t xml:space="preserve"> </w:t>
      </w:r>
      <w:r>
        <w:t xml:space="preserve">Auto parts manufacturers such as Proton and UMW Toyota prioritized TIG</w:t>
      </w:r>
      <w:r>
        <w:t xml:space="preserve"> </w:t>
      </w:r>
      <w:r>
        <w:rPr>
          <w:bCs/>
          <w:b/>
        </w:rPr>
        <w:t xml:space="preserve">Welder</w:t>
      </w:r>
      <w:r>
        <w:t xml:space="preserve">s for precision assembly, citing our 10% cost advantage over competitors in maintenance and energy efficiency.</w:t>
      </w:r>
    </w:p>
    <w:p>
      <w:pPr>
        <w:numPr>
          <w:ilvl w:val="0"/>
          <w:numId w:val="1001"/>
        </w:numPr>
        <w:pStyle w:val="Compact"/>
      </w:pPr>
      <w:r>
        <w:rPr>
          <w:bCs/>
          <w:b/>
        </w:rPr>
        <w:t xml:space="preserve">Industrial Fabrication Shops (13% of Sales):</w:t>
      </w:r>
      <w:r>
        <w:t xml:space="preserve"> </w:t>
      </w:r>
      <w:r>
        <w:t xml:space="preserve">Small-to-midsize workshops in KL's Klang Valley adopted budget-friendly MIG units, with 67% reporting reduced downtime after switching to our models.</w:t>
      </w:r>
    </w:p>
    <w:bookmarkEnd w:id="23"/>
    <w:bookmarkStart w:id="24" w:name="X23a18565481403935606a214974a121e80362e7"/>
    <w:p>
      <w:pPr>
        <w:pStyle w:val="Heading2"/>
      </w:pPr>
      <w:r>
        <w:t xml:space="preserve">V. Challenges in the Malaysia Kuala Lumpur Market</w:t>
      </w:r>
    </w:p>
    <w:p>
      <w:pPr>
        <w:pStyle w:val="FirstParagraph"/>
      </w:pPr>
      <w:r>
        <w:t xml:space="preserve">Despite growth, three challenges impacted Q3 sales velocity:</w:t>
      </w:r>
    </w:p>
    <w:p>
      <w:pPr>
        <w:numPr>
          <w:ilvl w:val="0"/>
          <w:numId w:val="1002"/>
        </w:numPr>
        <w:pStyle w:val="Compact"/>
      </w:pPr>
      <w:r>
        <w:rPr>
          <w:bCs/>
          <w:b/>
        </w:rPr>
        <w:t xml:space="preserve">Supply Chain Delays:</w:t>
      </w:r>
      <w:r>
        <w:t xml:space="preserve"> </w:t>
      </w:r>
      <w:r>
        <w:t xml:space="preserve">Import tariffs on core components (e.g., TIG torches) increased lead times by 14 days, affecting 32% of orders during peak MRT construction phases.</w:t>
      </w:r>
    </w:p>
    <w:p>
      <w:pPr>
        <w:numPr>
          <w:ilvl w:val="0"/>
          <w:numId w:val="1002"/>
        </w:numPr>
        <w:pStyle w:val="Compact"/>
      </w:pPr>
      <w:r>
        <w:rPr>
          <w:bCs/>
          <w:b/>
        </w:rPr>
        <w:t xml:space="preserve">Competitive Pressure:</w:t>
      </w:r>
      <w:r>
        <w:t xml:space="preserve"> </w:t>
      </w:r>
      <w:r>
        <w:t xml:space="preserve">Local brands like KELT and imported Chinese models undercut prices by 8-12% on entry-level units, though our premium positioning retained market share in high-value sectors.</w:t>
      </w:r>
    </w:p>
    <w:p>
      <w:pPr>
        <w:numPr>
          <w:ilvl w:val="0"/>
          <w:numId w:val="1002"/>
        </w:numPr>
        <w:pStyle w:val="Compact"/>
      </w:pPr>
      <w:r>
        <w:rPr>
          <w:bCs/>
          <w:b/>
        </w:rPr>
        <w:t xml:space="preserve">Skill Shortages:</w:t>
      </w:r>
      <w:r>
        <w:t xml:space="preserve"> </w:t>
      </w:r>
      <w:r>
        <w:t xml:space="preserve">44% of potential customers cited inadequate trained welders as a barrier to adopting advanced equipment—a gap our technical training workshops (launched Q2) are addressing.</w:t>
      </w:r>
    </w:p>
    <w:bookmarkEnd w:id="24"/>
    <w:bookmarkStart w:id="25" w:name="vi.-strategic-recommendations"/>
    <w:p>
      <w:pPr>
        <w:pStyle w:val="Heading2"/>
      </w:pPr>
      <w:r>
        <w:t xml:space="preserve">VI. Strategic Recommendations</w:t>
      </w:r>
    </w:p>
    <w:p>
      <w:pPr>
        <w:pStyle w:val="FirstParagraph"/>
      </w:pPr>
      <w:r>
        <w:t xml:space="preserve">To capitalize on Malaysia Kuala Lumpur's growth trajectory, we propose:</w:t>
      </w:r>
    </w:p>
    <w:p>
      <w:pPr>
        <w:numPr>
          <w:ilvl w:val="0"/>
          <w:numId w:val="1003"/>
        </w:numPr>
        <w:pStyle w:val="Compact"/>
      </w:pPr>
      <w:r>
        <w:rPr>
          <w:bCs/>
          <w:b/>
        </w:rPr>
        <w:t xml:space="preserve">Local Assembly Hub:</w:t>
      </w:r>
      <w:r>
        <w:t xml:space="preserve"> </w:t>
      </w:r>
      <w:r>
        <w:t xml:space="preserve">Establish a KL-based component assembly facility to bypass import tariffs and cut lead times by 40%, directly targeting construction clients' urgent project timelines.</w:t>
      </w:r>
    </w:p>
    <w:p>
      <w:pPr>
        <w:numPr>
          <w:ilvl w:val="0"/>
          <w:numId w:val="1003"/>
        </w:numPr>
        <w:pStyle w:val="Compact"/>
      </w:pPr>
      <w:r>
        <w:rPr>
          <w:bCs/>
          <w:b/>
        </w:rPr>
        <w:t xml:space="preserve">Industry-Specific Bundling:</w:t>
      </w:r>
      <w:r>
        <w:t xml:space="preserve"> </w:t>
      </w:r>
      <w:r>
        <w:t xml:space="preserve">Create "Kuala Lumpur Infrastructure Packages" (e.g., MIG</w:t>
      </w:r>
      <w:r>
        <w:t xml:space="preserve"> </w:t>
      </w:r>
      <w:r>
        <w:rPr>
          <w:bCs/>
          <w:b/>
        </w:rPr>
        <w:t xml:space="preserve">Welder</w:t>
      </w:r>
      <w:r>
        <w:t xml:space="preserve"> </w:t>
      </w:r>
      <w:r>
        <w:t xml:space="preserve">+ safety gear + training) for major contractors, bundling services to overcome price sensitivity.</w:t>
      </w:r>
    </w:p>
    <w:p>
      <w:pPr>
        <w:numPr>
          <w:ilvl w:val="0"/>
          <w:numId w:val="1003"/>
        </w:numPr>
        <w:pStyle w:val="Compact"/>
      </w:pPr>
      <w:r>
        <w:rPr>
          <w:bCs/>
          <w:b/>
        </w:rPr>
        <w:t xml:space="preserve">Digital Integration:</w:t>
      </w:r>
      <w:r>
        <w:t xml:space="preserve"> </w:t>
      </w:r>
      <w:r>
        <w:t xml:space="preserve">Launch a mobile app for KL-based customers to track equipment maintenance and receive real-time technical support—addressing the skill gap while enhancing loyalty.</w:t>
      </w:r>
    </w:p>
    <w:bookmarkEnd w:id="25"/>
    <w:bookmarkStart w:id="26" w:name="vii.-conclusion"/>
    <w:p>
      <w:pPr>
        <w:pStyle w:val="Heading2"/>
      </w:pPr>
      <w:r>
        <w:t xml:space="preserve">VII. Conclusion</w:t>
      </w:r>
    </w:p>
    <w:p>
      <w:pPr>
        <w:pStyle w:val="FirstParagraph"/>
      </w:pPr>
      <w:r>
        <w:t xml:space="preserve">The Q3 Sales Report confirms Malaysia Kuala Lumpur remains a high-potential market for welding technology, with strategic investments in automation and infrastructure directly fueling demand for our</w:t>
      </w:r>
      <w:r>
        <w:t xml:space="preserve"> </w:t>
      </w:r>
      <w:r>
        <w:rPr>
          <w:bCs/>
          <w:b/>
        </w:rPr>
        <w:t xml:space="preserve">Welder</w:t>
      </w:r>
      <w:r>
        <w:t xml:space="preserve"> </w:t>
      </w:r>
      <w:r>
        <w:t xml:space="preserve">portfolio. The 18.7% sales growth underscores the efficacy of our localized approach, but sustained success requires deeper integration into KL's industrial ecosystem. By resolving supply chain bottlenecks and addressing skill gaps through targeted training, we can position ourselves as the indispensable</w:t>
      </w:r>
      <w:r>
        <w:t xml:space="preserve"> </w:t>
      </w:r>
      <w:r>
        <w:rPr>
          <w:bCs/>
          <w:b/>
        </w:rPr>
        <w:t xml:space="preserve">Welder</w:t>
      </w:r>
      <w:r>
        <w:t xml:space="preserve"> </w:t>
      </w:r>
      <w:r>
        <w:t xml:space="preserve">partner for Malaysia's construction renaissance. We project Q4 sales to reach RM 16.8 million if current momentum continues, with robotic systems driving 30% of total revenue—a clear signal of Malaysia Kuala Lumpur's industrial evolution.</w:t>
      </w:r>
    </w:p>
    <w:p>
      <w:pPr>
        <w:pStyle w:val="BodyText"/>
      </w:pPr>
      <w:r>
        <w:rPr>
          <w:iCs/>
          <w:i/>
        </w:rPr>
        <w:t xml:space="preserve">This Sales Report serves as a benchmark for our strategy in Malaysia Kuala Lumpur, emphasizing that welding excellence is fundamental to the region's engineering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Performance in Malaysia Kuala Lumpur</dc:title>
  <dc:creator/>
  <dc:language>en</dc:language>
  <cp:keywords/>
  <dcterms:created xsi:type="dcterms:W3CDTF">2025-12-10T07:54:41Z</dcterms:created>
  <dcterms:modified xsi:type="dcterms:W3CDTF">2025-12-10T07:54:41Z</dcterms:modified>
</cp:coreProperties>
</file>

<file path=docProps/custom.xml><?xml version="1.0" encoding="utf-8"?>
<Properties xmlns="http://schemas.openxmlformats.org/officeDocument/2006/custom-properties" xmlns:vt="http://schemas.openxmlformats.org/officeDocument/2006/docPropsVTypes"/>
</file>