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Amsterdam</w:t>
      </w:r>
      <w:r>
        <w:t xml:space="preserve"> </w:t>
      </w:r>
      <w:r>
        <w:t xml:space="preserve">Welding</w:t>
      </w:r>
      <w:r>
        <w:t xml:space="preserve"> </w:t>
      </w:r>
      <w:r>
        <w:t xml:space="preserve">Solutions</w:t>
      </w:r>
      <w:r>
        <w:t xml:space="preserve"> </w:t>
      </w:r>
      <w:r>
        <w:t xml:space="preserve">Sales</w:t>
      </w:r>
      <w:r>
        <w:t xml:space="preserve"> </w:t>
      </w:r>
      <w:r>
        <w:t xml:space="preserve">Report</w:t>
      </w:r>
      <w:r>
        <w:t xml:space="preserve"> </w:t>
      </w:r>
      <w:r>
        <w:t xml:space="preserve">|</w:t>
      </w:r>
      <w:r>
        <w:t xml:space="preserve"> </w:t>
      </w:r>
      <w:r>
        <w:t xml:space="preserve">Netherlands</w:t>
      </w:r>
      <w:r>
        <w:t xml:space="preserve"> </w:t>
      </w:r>
      <w:r>
        <w:t xml:space="preserve">Market</w:t>
      </w:r>
      <w:r>
        <w:t xml:space="preserve"> </w:t>
      </w:r>
      <w:r>
        <w:t xml:space="preserve">Analysis</w:t>
      </w:r>
    </w:p>
    <w:bookmarkStart w:id="27" w:name="X4db8c3cb4733e7c5aea2595eb15553235ee205e"/>
    <w:p>
      <w:pPr>
        <w:pStyle w:val="Heading1"/>
      </w:pPr>
      <w:r>
        <w:t xml:space="preserve">Sales Report: Advanced Welder Solutions for the Netherlands Amsterdam Market (Q3 2023)</w:t>
      </w:r>
    </w:p>
    <w:p>
      <w:pPr>
        <w:pStyle w:val="FirstParagraph"/>
      </w:pPr>
      <w:r>
        <w:rPr>
          <w:bCs/>
          <w:b/>
        </w:rPr>
        <w:t xml:space="preserve">Prepared For:</w:t>
      </w:r>
      <w:r>
        <w:t xml:space="preserve"> </w:t>
      </w:r>
      <w:r>
        <w:t xml:space="preserve">Global Sales Leadership &amp; Executive Team</w:t>
      </w:r>
      <w:r>
        <w:br/>
      </w:r>
      <w:r>
        <w:rPr>
          <w:bCs/>
          <w:b/>
        </w:rPr>
        <w:t xml:space="preserve">Date:</w:t>
      </w:r>
      <w:r>
        <w:t xml:space="preserve"> </w:t>
      </w:r>
      <w:r>
        <w:t xml:space="preserve">October 26, 2023</w:t>
      </w:r>
      <w:r>
        <w:br/>
      </w:r>
      <w:r>
        <w:rPr>
          <w:bCs/>
          <w:b/>
        </w:rPr>
        <w:t xml:space="preserve">Region Covered:</w:t>
      </w:r>
      <w:r>
        <w:t xml:space="preserve"> </w:t>
      </w:r>
      <w:r>
        <w:t xml:space="preserve">Netherlands (Amsterdam Metropolitan Area Focus)</w:t>
      </w:r>
    </w:p>
    <w:bookmarkStart w:id="20" w:name="executive-summary"/>
    <w:p>
      <w:pPr>
        <w:pStyle w:val="Heading2"/>
      </w:pPr>
      <w:r>
        <w:t xml:space="preserve">Executive Summary</w:t>
      </w:r>
    </w:p>
    <w:p>
      <w:pPr>
        <w:pStyle w:val="FirstParagraph"/>
      </w:pPr>
      <w:r>
        <w:t xml:space="preserve">This comprehensive Sales Report details the performance of our advanced welding solutions portfolio within the critical Netherlands Amsterdam market. The quarter concluded with a 14% year-over-year sales growth, significantly outperforming regional industry averages. This success is directly attributed to our strategic alignment with Amsterdam's unique industrial demands, stringent Dutch quality standards (NEN EN 1090), and the city's position as Europe's leading hub for sustainable manufacturing and infrastructure development. Our focus on precision</w:t>
      </w:r>
      <w:r>
        <w:t xml:space="preserve"> </w:t>
      </w:r>
      <w:r>
        <w:rPr>
          <w:bCs/>
          <w:b/>
        </w:rPr>
        <w:t xml:space="preserve">welder</w:t>
      </w:r>
      <w:r>
        <w:t xml:space="preserve"> </w:t>
      </w:r>
      <w:r>
        <w:t xml:space="preserve">technology tailored for the Amsterdam ecosystem has positioned us as a preferred supplier among major engineering firms operating in the Netherlands.</w:t>
      </w:r>
    </w:p>
    <w:bookmarkEnd w:id="20"/>
    <w:bookmarkStart w:id="21" w:name="amsterdam-market-dynamics-demand-drivers"/>
    <w:p>
      <w:pPr>
        <w:pStyle w:val="Heading2"/>
      </w:pPr>
      <w:r>
        <w:t xml:space="preserve">Amsterdam Market Dynamics &amp; Demand Drivers</w:t>
      </w:r>
    </w:p>
    <w:p>
      <w:pPr>
        <w:pStyle w:val="FirstParagraph"/>
      </w:pPr>
      <w:r>
        <w:t xml:space="preserve">The Amsterdam market for industrial</w:t>
      </w:r>
      <w:r>
        <w:t xml:space="preserve"> </w:t>
      </w:r>
      <w:r>
        <w:rPr>
          <w:bCs/>
          <w:b/>
        </w:rPr>
        <w:t xml:space="preserve">welder</w:t>
      </w:r>
      <w:r>
        <w:t xml:space="preserve"> </w:t>
      </w:r>
      <w:r>
        <w:t xml:space="preserve">equipment is experiencing transformative growth, driven by three key pillars:</w:t>
      </w:r>
    </w:p>
    <w:p>
      <w:pPr>
        <w:numPr>
          <w:ilvl w:val="0"/>
          <w:numId w:val="1001"/>
        </w:numPr>
        <w:pStyle w:val="Compact"/>
      </w:pPr>
      <w:r>
        <w:rPr>
          <w:bCs/>
          <w:b/>
        </w:rPr>
        <w:t xml:space="preserve">Sustainable Infrastructure Boom:</w:t>
      </w:r>
      <w:r>
        <w:t xml:space="preserve"> </w:t>
      </w:r>
      <w:r>
        <w:t xml:space="preserve">Amsterdam's ambitious "Green City" initiative mandates carbon-neutral construction from 2030. This has accelerated demand for high-efficiency, low-emission welding systems used in renewable energy projects (wind turbine components, solar farm infrastructure) and sustainable building materials. Our MIG/MAG welders with integrated CO</w:t>
      </w:r>
      <w:r>
        <w:rPr>
          <w:vertAlign w:val="subscript"/>
        </w:rPr>
        <w:t xml:space="preserve">2</w:t>
      </w:r>
      <w:r>
        <w:t xml:space="preserve"> </w:t>
      </w:r>
      <w:r>
        <w:t xml:space="preserve">reduction technology captured 28% market share in this segment.</w:t>
      </w:r>
    </w:p>
    <w:p>
      <w:pPr>
        <w:numPr>
          <w:ilvl w:val="0"/>
          <w:numId w:val="1001"/>
        </w:numPr>
        <w:pStyle w:val="Compact"/>
      </w:pPr>
      <w:r>
        <w:rPr>
          <w:bCs/>
          <w:b/>
        </w:rPr>
        <w:t xml:space="preserve">Port &amp; Logistics Expansion:</w:t>
      </w:r>
      <w:r>
        <w:t xml:space="preserve"> </w:t>
      </w:r>
      <w:r>
        <w:t xml:space="preserve">The Port of Amsterdam's $1.2B expansion project (including new deep-water terminals and logistics hubs) requires specialized welding for heavy steel structures and corrosion-resistant marine alloys. Our industrial robotic</w:t>
      </w:r>
      <w:r>
        <w:t xml:space="preserve"> </w:t>
      </w:r>
      <w:r>
        <w:rPr>
          <w:bCs/>
          <w:b/>
        </w:rPr>
        <w:t xml:space="preserve">welder</w:t>
      </w:r>
      <w:r>
        <w:t xml:space="preserve"> </w:t>
      </w:r>
      <w:r>
        <w:t xml:space="preserve">systems became the preferred solution for major contractors like VolkerWessels, securing a €350k contract.</w:t>
      </w:r>
    </w:p>
    <w:p>
      <w:pPr>
        <w:numPr>
          <w:ilvl w:val="0"/>
          <w:numId w:val="1001"/>
        </w:numPr>
        <w:pStyle w:val="Compact"/>
      </w:pPr>
      <w:r>
        <w:rPr>
          <w:bCs/>
          <w:b/>
        </w:rPr>
        <w:t xml:space="preserve">Dutch Certification Compliance:</w:t>
      </w:r>
      <w:r>
        <w:t xml:space="preserve"> </w:t>
      </w:r>
      <w:r>
        <w:t xml:space="preserve">All welding work in Netherlands Amsterdam requires adherence to NEN EN 1090-2 standards. Our equipment comes pre-certified with digital traceability logs, eliminating compliance headaches for customers – a key differentiator in a market where certification delays cost projects €5k+ daily.</w:t>
      </w:r>
    </w:p>
    <w:bookmarkEnd w:id="21"/>
    <w:bookmarkStart w:id="22" w:name="product-performance-amsterdam-focus"/>
    <w:p>
      <w:pPr>
        <w:pStyle w:val="Heading2"/>
      </w:pPr>
      <w:r>
        <w:t xml:space="preserve">Product Performance: Amsterdam Focus</w:t>
      </w:r>
    </w:p>
    <w:p>
      <w:pPr>
        <w:pStyle w:val="FirstParagraph"/>
      </w:pPr>
      <w:r>
        <w:t xml:space="preserve">The following table summarizes Q3 2023 sales performance of key</w:t>
      </w:r>
      <w:r>
        <w:t xml:space="preserve"> </w:t>
      </w:r>
      <w:r>
        <w:rPr>
          <w:bCs/>
          <w:b/>
        </w:rPr>
        <w:t xml:space="preserve">welder</w:t>
      </w:r>
      <w:r>
        <w:t xml:space="preserve"> </w:t>
      </w:r>
      <w:r>
        <w:t xml:space="preserve">models within the Netherlands Amsterdam region:</w:t>
      </w:r>
    </w:p>
    <w:p>
      <w:pPr>
        <w:pStyle w:val="BodyText"/>
      </w:pPr>
      <w:r>
        <w:t xml:space="preserve">Product Line</w:t>
      </w:r>
    </w:p>
    <w:p>
      <w:pPr>
        <w:pStyle w:val="BodyText"/>
      </w:pPr>
      <w:r>
        <w:t xml:space="preserve">Sales Volume (Q3)</w:t>
      </w:r>
    </w:p>
    <w:p>
      <w:pPr>
        <w:pStyle w:val="BodyText"/>
      </w:pPr>
      <w:r>
        <w:t xml:space="preserve">YoY Growth</w:t>
      </w:r>
    </w:p>
    <w:p>
      <w:pPr>
        <w:pStyle w:val="BodyText"/>
      </w:pPr>
      <w:r>
        <w:t xml:space="preserve">Top Use Case in Amsterdam</w:t>
      </w:r>
    </w:p>
    <w:p>
      <w:pPr>
        <w:pStyle w:val="BodyText"/>
      </w:pPr>
      <w:r>
        <w:t xml:space="preserve">Key Customer Segment</w:t>
      </w:r>
    </w:p>
    <w:p>
      <w:pPr>
        <w:pStyle w:val="BodyText"/>
      </w:pPr>
      <w:r>
        <w:t xml:space="preserve">Precision MIG 500 (Low-Emission)</w:t>
      </w:r>
    </w:p>
    <w:p>
      <w:pPr>
        <w:pStyle w:val="BodyText"/>
      </w:pPr>
      <w:r>
        <w:t xml:space="preserve">142 units</w:t>
      </w:r>
    </w:p>
    <w:p>
      <w:pPr>
        <w:pStyle w:val="BodyText"/>
      </w:pPr>
      <w:r>
        <w:t xml:space="preserve">+22%</w:t>
      </w:r>
    </w:p>
    <w:p>
      <w:pPr>
        <w:pStyle w:val="BodyText"/>
      </w:pPr>
      <w:r>
        <w:t xml:space="preserve">Renewable Energy Infrastructure</w:t>
      </w:r>
    </w:p>
    <w:p>
      <w:pPr>
        <w:pStyle w:val="BodyText"/>
      </w:pPr>
      <w:r>
        <w:t xml:space="preserve">GreenTech Engineering Firms</w:t>
      </w:r>
    </w:p>
    <w:p>
      <w:pPr>
        <w:pStyle w:val="BodyText"/>
      </w:pPr>
      <w:r>
        <w:t xml:space="preserve">RoboWeld Pro 700 (Automated)</w:t>
      </w:r>
    </w:p>
    <w:p>
      <w:pPr>
        <w:pStyle w:val="BodyText"/>
      </w:pPr>
      <w:r>
        <w:t xml:space="preserve">48 units</w:t>
      </w:r>
    </w:p>
    <w:p>
      <w:pPr>
        <w:pStyle w:val="BodyText"/>
      </w:pPr>
      <w:r>
        <w:t xml:space="preserve">+35%</w:t>
      </w:r>
    </w:p>
    <w:p>
      <w:pPr>
        <w:pStyle w:val="BodyText"/>
      </w:pPr>
      <w:r>
        <w:t xml:space="preserve">Port of Amsterdam Terminal Construction</w:t>
      </w:r>
    </w:p>
    <w:p>
      <w:pPr>
        <w:pStyle w:val="BodyText"/>
      </w:pPr>
      <w:r>
        <w:t xml:space="preserve">Heavy Engineering Contractors</w:t>
      </w:r>
    </w:p>
    <w:p>
      <w:pPr>
        <w:pStyle w:val="BodyText"/>
      </w:pPr>
      <w:r>
        <w:t xml:space="preserve">Multifunctional TIG 200 (Portable)</w:t>
      </w:r>
    </w:p>
    <w:p>
      <w:pPr>
        <w:pStyle w:val="BodyText"/>
      </w:pPr>
      <w:r>
        <w:t xml:space="preserve">97 units</w:t>
      </w:r>
    </w:p>
    <w:p>
      <w:pPr>
        <w:pStyle w:val="BodyText"/>
      </w:pPr>
      <w:r>
        <w:t xml:space="preserve">+18%</w:t>
      </w:r>
    </w:p>
    <w:p>
      <w:pPr>
        <w:pStyle w:val="BodyText"/>
      </w:pPr>
      <w:r>
        <w:t xml:space="preserve">Sustainable Building Renovation (Zuidas District)</w:t>
      </w:r>
    </w:p>
    <w:p>
      <w:pPr>
        <w:pStyle w:val="BodyText"/>
      </w:pPr>
      <w:r>
        <w:t xml:space="preserve">Specialized Fabrication Workshops</w:t>
      </w:r>
    </w:p>
    <w:p>
      <w:pPr>
        <w:pStyle w:val="BodyText"/>
      </w:pPr>
      <w:r>
        <w:t xml:space="preserve">Notably, the Precision MIG 500 saw explosive growth in Amsterdam due to its compatibility with the Netherlands' new Ecodesign Directive for industrial equipment (effective Jan 2023), reducing energy consumption by 19% versus competitors. This directly supports Amsterdam's municipal energy targets.</w:t>
      </w:r>
    </w:p>
    <w:bookmarkEnd w:id="22"/>
    <w:bookmarkStart w:id="23" w:name="Xd9cc3b9f04a989f08f7662567f0436b3eeec26f"/>
    <w:p>
      <w:pPr>
        <w:pStyle w:val="Heading2"/>
      </w:pPr>
      <w:r>
        <w:t xml:space="preserve">Competitive Landscape Analysis: Netherlands Amsterdam</w:t>
      </w:r>
    </w:p>
    <w:p>
      <w:pPr>
        <w:pStyle w:val="FirstParagraph"/>
      </w:pPr>
      <w:r>
        <w:t xml:space="preserve">The Amsterdam market is highly competitive, with German (ESAB, Fronius) and Japanese (Yamaha) brands holding significant share. However, our localized approach has been decisive:</w:t>
      </w:r>
    </w:p>
    <w:p>
      <w:pPr>
        <w:numPr>
          <w:ilvl w:val="0"/>
          <w:numId w:val="1002"/>
        </w:numPr>
        <w:pStyle w:val="Compact"/>
      </w:pPr>
      <w:r>
        <w:rPr>
          <w:bCs/>
          <w:b/>
        </w:rPr>
        <w:t xml:space="preserve">Localized Service Network:</w:t>
      </w:r>
      <w:r>
        <w:t xml:space="preserve"> </w:t>
      </w:r>
      <w:r>
        <w:t xml:space="preserve">Our new Amsterdam service hub (opened Q1 2023), staffed by NEN-certified technicians, reduced on-site repair times from 72 hours to under 12 hours – a critical advantage in high-uptime industrial environments.</w:t>
      </w:r>
    </w:p>
    <w:p>
      <w:pPr>
        <w:numPr>
          <w:ilvl w:val="0"/>
          <w:numId w:val="1002"/>
        </w:numPr>
        <w:pStyle w:val="Compact"/>
      </w:pPr>
      <w:r>
        <w:rPr>
          <w:bCs/>
          <w:b/>
        </w:rPr>
        <w:t xml:space="preserve">Language &amp; Compliance Expertise:</w:t>
      </w:r>
      <w:r>
        <w:t xml:space="preserve"> </w:t>
      </w:r>
      <w:r>
        <w:t xml:space="preserve">All sales materials and technical documentation are fully available in Dutch, with support teams fluent in Dutch business protocols. We actively participate in NEN standards committees, ensuring our products meet evolving Netherlands requirements before they’re mandated.</w:t>
      </w:r>
    </w:p>
    <w:p>
      <w:pPr>
        <w:numPr>
          <w:ilvl w:val="0"/>
          <w:numId w:val="1002"/>
        </w:numPr>
        <w:pStyle w:val="Compact"/>
      </w:pPr>
      <w:r>
        <w:rPr>
          <w:bCs/>
          <w:b/>
        </w:rPr>
        <w:t xml:space="preserve">Sustainability Proof Points:</w:t>
      </w:r>
      <w:r>
        <w:t xml:space="preserve"> </w:t>
      </w:r>
      <w:r>
        <w:t xml:space="preserve">Our "EcoWeld" certification (recognized by Amsterdam Sustainability Office) provides customers tangible proof of reduced carbon footprint, a key factor in winning municipal and private sector contracts.</w:t>
      </w:r>
    </w:p>
    <w:bookmarkEnd w:id="23"/>
    <w:bookmarkStart w:id="24" w:name="challenges-strategic-recommendations"/>
    <w:p>
      <w:pPr>
        <w:pStyle w:val="Heading2"/>
      </w:pPr>
      <w:r>
        <w:t xml:space="preserve">Challenges &amp; Strategic Recommendations</w:t>
      </w:r>
    </w:p>
    <w:p>
      <w:pPr>
        <w:pStyle w:val="FirstParagraph"/>
      </w:pPr>
      <w:r>
        <w:t xml:space="preserve">While performance is strong, three challenges require immediate attention for sustained growth in the Netherlands Amsterdam market:</w:t>
      </w:r>
    </w:p>
    <w:p>
      <w:pPr>
        <w:numPr>
          <w:ilvl w:val="0"/>
          <w:numId w:val="1003"/>
        </w:numPr>
        <w:pStyle w:val="Compact"/>
      </w:pPr>
      <w:r>
        <w:rPr>
          <w:bCs/>
          <w:b/>
        </w:rPr>
        <w:t xml:space="preserve">Skilled Welder Shortage:</w:t>
      </w:r>
      <w:r>
        <w:t xml:space="preserve"> </w:t>
      </w:r>
      <w:r>
        <w:t xml:space="preserve">Amsterdam faces a 15% deficit of certified welders. Recommendation: Partner with Hogeschool van Amsterdam to co-develop a "Sustainable Welding Technician" certification program, bundling training with equipment purchases.</w:t>
      </w:r>
    </w:p>
    <w:p>
      <w:pPr>
        <w:numPr>
          <w:ilvl w:val="0"/>
          <w:numId w:val="1003"/>
        </w:numPr>
        <w:pStyle w:val="Compact"/>
      </w:pPr>
      <w:r>
        <w:rPr>
          <w:bCs/>
          <w:b/>
        </w:rPr>
        <w:t xml:space="preserve">Supply Chain Volatility:</w:t>
      </w:r>
      <w:r>
        <w:t xml:space="preserve"> </w:t>
      </w:r>
      <w:r>
        <w:t xml:space="preserve">Geopolitical tensions impacted delivery timelines for critical components (e.g., precision sensors). Recommendation: Establish a regional parts inventory hub within the Rotterdam Freeport zone to mitigate Amsterdam-specific delays.</w:t>
      </w:r>
    </w:p>
    <w:p>
      <w:pPr>
        <w:numPr>
          <w:ilvl w:val="0"/>
          <w:numId w:val="1003"/>
        </w:numPr>
        <w:pStyle w:val="Compact"/>
      </w:pPr>
      <w:r>
        <w:rPr>
          <w:bCs/>
          <w:b/>
        </w:rPr>
        <w:t xml:space="preserve">Sustainability Pressure:</w:t>
      </w:r>
      <w:r>
        <w:t xml:space="preserve"> </w:t>
      </w:r>
      <w:r>
        <w:t xml:space="preserve">New Dutch regulations may require 50% recycled materials in welding consumables by 2025. Recommendation: Accelerate R&amp;D on our "GreenFill" consumable line for full compliance.</w:t>
      </w:r>
    </w:p>
    <w:bookmarkEnd w:id="24"/>
    <w:bookmarkStart w:id="25" w:name="outlook-strategic-positioning"/>
    <w:p>
      <w:pPr>
        <w:pStyle w:val="Heading2"/>
      </w:pPr>
      <w:r>
        <w:t xml:space="preserve">Outlook &amp; Strategic Positioning</w:t>
      </w:r>
    </w:p>
    <w:p>
      <w:pPr>
        <w:pStyle w:val="FirstParagraph"/>
      </w:pPr>
      <w:r>
        <w:t xml:space="preserve">The Netherlands Amsterdam market presents exceptional, long-term growth potential. With Amsterdam’s commitment to becoming Europe's largest green industrial hub by 2035, demand for advanced</w:t>
      </w:r>
      <w:r>
        <w:t xml:space="preserve"> </w:t>
      </w:r>
      <w:r>
        <w:rPr>
          <w:bCs/>
          <w:b/>
        </w:rPr>
        <w:t xml:space="preserve">welder</w:t>
      </w:r>
      <w:r>
        <w:t xml:space="preserve"> </w:t>
      </w:r>
      <w:r>
        <w:t xml:space="preserve">solutions will only intensify. This Sales Report confirms our market leadership is not accidental – it stems from deep understanding of the Amsterdam business ecosystem.</w:t>
      </w:r>
    </w:p>
    <w:p>
      <w:pPr>
        <w:pStyle w:val="BodyText"/>
      </w:pPr>
      <w:r>
        <w:t xml:space="preserve">We recommend doubling down on three strategic pillars for Q4:</w:t>
      </w:r>
    </w:p>
    <w:p>
      <w:pPr>
        <w:numPr>
          <w:ilvl w:val="0"/>
          <w:numId w:val="1004"/>
        </w:numPr>
        <w:pStyle w:val="Compact"/>
      </w:pPr>
      <w:r>
        <w:rPr>
          <w:bCs/>
          <w:b/>
        </w:rPr>
        <w:t xml:space="preserve">Amsterdam-Specific Product Launches:</w:t>
      </w:r>
      <w:r>
        <w:t xml:space="preserve"> </w:t>
      </w:r>
      <w:r>
        <w:t xml:space="preserve">Introduce a new "PortReady" welder series designed specifically for marine corrosion resistance (validated against Port of Amsterdam's technical specs).</w:t>
      </w:r>
    </w:p>
    <w:p>
      <w:pPr>
        <w:numPr>
          <w:ilvl w:val="0"/>
          <w:numId w:val="1004"/>
        </w:numPr>
        <w:pStyle w:val="Compact"/>
      </w:pPr>
      <w:r>
        <w:rPr>
          <w:bCs/>
          <w:b/>
        </w:rPr>
        <w:t xml:space="preserve">Priority Government Contracts:</w:t>
      </w:r>
      <w:r>
        <w:t xml:space="preserve"> </w:t>
      </w:r>
      <w:r>
        <w:t xml:space="preserve">Target the €80M Amsterdam Smart Grid Infrastructure project with a tailored proposal emphasizing our NEN EN 1090 compliance and energy savings data.</w:t>
      </w:r>
    </w:p>
    <w:p>
      <w:pPr>
        <w:numPr>
          <w:ilvl w:val="0"/>
          <w:numId w:val="1004"/>
        </w:numPr>
        <w:pStyle w:val="Compact"/>
      </w:pPr>
      <w:r>
        <w:rPr>
          <w:bCs/>
          <w:b/>
        </w:rPr>
        <w:t xml:space="preserve">Customer Experience Focus:</w:t>
      </w:r>
      <w:r>
        <w:t xml:space="preserve"> </w:t>
      </w:r>
      <w:r>
        <w:t xml:space="preserve">Implement a Dutch-language digital platform for real-time welder performance analytics, aligning with Amsterdam's "Smart City" infrastructure goals.</w:t>
      </w:r>
    </w:p>
    <w:bookmarkEnd w:id="25"/>
    <w:bookmarkStart w:id="26" w:name="conclusion"/>
    <w:p>
      <w:pPr>
        <w:pStyle w:val="Heading2"/>
      </w:pPr>
      <w:r>
        <w:t xml:space="preserve">Conclusion</w:t>
      </w:r>
    </w:p>
    <w:p>
      <w:pPr>
        <w:pStyle w:val="FirstParagraph"/>
      </w:pPr>
      <w:r>
        <w:t xml:space="preserve">This Sales Report demonstrates that our investment in understanding the unique demands of the Netherlands Amsterdam market has yielded significant returns. By embedding ourselves within Amsterdam's industrial fabric – through certification mastery, local service infrastructure, and sustainability alignment – we’ve transformed from a supplier into an indispensable partner for engineering excellence in the Netherlands. The data confirms that strategic focus on Amsterdam’s specific needs is directly driving our competitive advantage and sales success. As the Netherlands accelerates its green transition, our</w:t>
      </w:r>
      <w:r>
        <w:t xml:space="preserve"> </w:t>
      </w:r>
      <w:r>
        <w:rPr>
          <w:bCs/>
          <w:b/>
        </w:rPr>
        <w:t xml:space="preserve">welder</w:t>
      </w:r>
      <w:r>
        <w:t xml:space="preserve"> </w:t>
      </w:r>
      <w:r>
        <w:t xml:space="preserve">solutions will remain central to building Amsterdam's sustainable future.</w:t>
      </w:r>
    </w:p>
    <w:p>
      <w:pPr>
        <w:pStyle w:val="BodyText"/>
      </w:pPr>
      <w:r>
        <w:rPr>
          <w:iCs/>
          <w:i/>
        </w:rPr>
        <w:t xml:space="preserve">This Sales Report is exclusively for internal use in the Netherlands Amsterdam operations and aligns with all local regulatory requirements (NEN EN 1090, Dutch Environmental Act).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Amsterdam Welding Solutions Sales Report | Netherlands Market Analysis</dc:title>
  <dc:creator/>
  <dc:language>en</dc:language>
  <cp:keywords/>
  <dcterms:created xsi:type="dcterms:W3CDTF">2025-12-10T10:24:00Z</dcterms:created>
  <dcterms:modified xsi:type="dcterms:W3CDTF">2025-12-10T10:24:00Z</dcterms:modified>
</cp:coreProperties>
</file>

<file path=docProps/custom.xml><?xml version="1.0" encoding="utf-8"?>
<Properties xmlns="http://schemas.openxmlformats.org/officeDocument/2006/custom-properties" xmlns:vt="http://schemas.openxmlformats.org/officeDocument/2006/docPropsVTypes"/>
</file>