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Alexandria</w:t>
      </w:r>
    </w:p>
    <w:bookmarkStart w:id="20" w:name="slide-1-title-slide"/>
    <w:p>
      <w:pPr>
        <w:pStyle w:val="Heading5"/>
      </w:pPr>
      <w:r>
        <w:t xml:space="preserve">Slide 1 Title Slide</w:t>
      </w:r>
    </w:p>
    <w:p>
      <w:pPr>
        <w:pStyle w:val="FirstParagraph"/>
      </w:pPr>
      <w:r>
        <w:rPr>
          <w:bCs/>
          <w:b/>
        </w:rPr>
        <w:t xml:space="preserve">Seminar Presentation Slides:</w:t>
      </w:r>
    </w:p>
    <w:bookmarkEnd w:id="20"/>
    <w:bookmarkStart w:id="22" w:name="X38f6cffce38d1c4e4751ddd0c9aaddbbe68f723"/>
    <w:p>
      <w:pPr>
        <w:pStyle w:val="Heading2"/>
      </w:pPr>
      <w:r>
        <w:t xml:space="preserve">The Modern Academic Researcher: Challenges, Opportunities, and Strategic Impact in Egypt Alexandria</w:t>
      </w:r>
    </w:p>
    <w:p>
      <w:pPr>
        <w:pStyle w:val="FirstParagraph"/>
      </w:pPr>
      <w:r>
        <w:rPr>
          <w:iCs/>
          <w:i/>
        </w:rPr>
        <w:t xml:space="preserve">Presentation Date: October 2024</w:t>
      </w:r>
    </w:p>
    <w:p>
      <w:pPr>
        <w:pStyle w:val="BodyText"/>
      </w:pPr>
      <w:r>
        <w:rPr>
          <w:bCs/>
          <w:b/>
        </w:rPr>
        <w:t xml:space="preserve">Prepared for:</w:t>
      </w:r>
    </w:p>
    <w:bookmarkStart w:id="21" w:name="X2c189d0ed1beb0ce1e36a23f3dd0843811a5313"/>
    <w:p>
      <w:pPr>
        <w:pStyle w:val="Heading3"/>
      </w:pPr>
      <w:r>
        <w:t xml:space="preserve">The Academic Community of Egypt Alexandria</w:t>
      </w:r>
    </w:p>
    <w:p>
      <w:pPr>
        <w:pStyle w:val="FirstParagraph"/>
      </w:pPr>
      <w:r>
        <w:rPr>
          <w:bCs/>
          <w:b/>
        </w:rPr>
        <w:t xml:space="preserve">Focus:</w:t>
      </w:r>
    </w:p>
    <w:p>
      <w:pPr>
        <w:numPr>
          <w:ilvl w:val="0"/>
          <w:numId w:val="1001"/>
        </w:numPr>
        <w:pStyle w:val="Compact"/>
      </w:pPr>
      <w:r>
        <w:t xml:space="preserve">○ Advancing Local Innovation</w:t>
      </w:r>
    </w:p>
    <w:p>
      <w:pPr>
        <w:numPr>
          <w:ilvl w:val="0"/>
          <w:numId w:val="1001"/>
        </w:numPr>
        <w:pStyle w:val="Compact"/>
      </w:pPr>
      <w:r>
        <w:t xml:space="preserve">○ Navigating Regional Collaborations</w:t>
      </w:r>
    </w:p>
    <w:p>
      <w:pPr>
        <w:numPr>
          <w:ilvl w:val="0"/>
          <w:numId w:val="1001"/>
        </w:numPr>
        <w:pStyle w:val="Compact"/>
      </w:pPr>
      <w:r>
        <w:t xml:space="preserve">○ Enhancing Global Visibility from Egypt Alexandria</w:t>
      </w:r>
    </w:p>
    <w:bookmarkEnd w:id="21"/>
    <w:bookmarkEnd w:id="22"/>
    <w:bookmarkStart w:id="24" w:name="slide-2-introduction"/>
    <w:p>
      <w:pPr>
        <w:pStyle w:val="Heading2"/>
      </w:pPr>
      <w:r>
        <w:t xml:space="preserve">Slide 2 Introduction</w:t>
      </w:r>
    </w:p>
    <w:bookmarkStart w:id="23" w:name="defining-the-landscape"/>
    <w:p>
      <w:pPr>
        <w:pStyle w:val="Heading5"/>
      </w:pPr>
      <w:r>
        <w:t xml:space="preserve">Defining the Landscape</w:t>
      </w:r>
    </w:p>
    <w:p>
      <w:pPr>
        <w:pStyle w:val="FirstParagraph"/>
      </w:pPr>
      <w:r>
        <w:t xml:space="preserve">The role of the academic researcher is evolving rapidly. In Egypt Alexandria, this evolution takes place against a backdrop of historical significance in learning and modern economic transformation. This seminar aims to dissect the multifaceted responsibilities of today's scholar.</w:t>
      </w:r>
    </w:p>
    <w:p>
      <w:pPr>
        <w:numPr>
          <w:ilvl w:val="0"/>
          <w:numId w:val="1002"/>
        </w:numPr>
        <w:pStyle w:val="Compact"/>
      </w:pPr>
      <w:r>
        <w:t xml:space="preserve">We must understand the unique position Egypt Alexandria holds within the Mediterranean research network.</w:t>
      </w:r>
    </w:p>
    <w:p>
      <w:pPr>
        <w:numPr>
          <w:ilvl w:val="0"/>
          <w:numId w:val="1002"/>
        </w:numPr>
        <w:pStyle w:val="Compact"/>
      </w:pPr>
      <w:r>
        <w:t xml:space="preserve">The concept of the "Academic Researcher" is no longer confined to pure theoretical inquiry but extends to societal impact.</w:t>
      </w:r>
    </w:p>
    <w:p>
      <w:pPr>
        <w:numPr>
          <w:ilvl w:val="0"/>
          <w:numId w:val="1002"/>
        </w:numPr>
        <w:pStyle w:val="Compact"/>
      </w:pPr>
      <w:r>
        <w:t xml:space="preserve">Specific challenges in Egypt Alexandria require tailored solutions, distinct from those in other global hubs.</w:t>
      </w:r>
    </w:p>
    <w:bookmarkEnd w:id="23"/>
    <w:bookmarkEnd w:id="24"/>
    <w:p>
      <w:pPr>
        <w:pStyle w:val="FirstParagraph"/>
      </w:pPr>
      <w:r>
        <w:t xml:space="preserve">Slide 3 The Dual Mandate of the Academic Researcher</w:t>
      </w:r>
    </w:p>
    <w:p>
      <w:pPr>
        <w:pStyle w:val="BodyText"/>
      </w:pPr>
      <w:r>
        <w:t xml:space="preserve">Academic researchers today face a dual mandate: excellence in scholarship and relevance to society.</w:t>
      </w:r>
    </w:p>
    <w:bookmarkStart w:id="25" w:name="scholarly-excellence"/>
    <w:p>
      <w:pPr>
        <w:pStyle w:val="Heading3"/>
      </w:pPr>
      <w:r>
        <w:t xml:space="preserve">1. Scholarly Excellence</w:t>
      </w:r>
    </w:p>
    <w:p>
      <w:pPr>
        <w:numPr>
          <w:ilvl w:val="0"/>
          <w:numId w:val="1003"/>
        </w:numPr>
        <w:pStyle w:val="Compact"/>
      </w:pPr>
      <w:r>
        <w:t xml:space="preserve">Publishing in high-impact, peer-reviewed journals is the traditional currency of academia.</w:t>
      </w:r>
    </w:p>
    <w:p>
      <w:pPr>
        <w:numPr>
          <w:ilvl w:val="0"/>
          <w:numId w:val="1003"/>
        </w:numPr>
        <w:pStyle w:val="Compact"/>
      </w:pPr>
      <w:r>
        <w:t xml:space="preserve">Maintaining rigorous ethical standards in data collection and analysis.</w:t>
      </w:r>
    </w:p>
    <w:p>
      <w:pPr>
        <w:numPr>
          <w:ilvl w:val="0"/>
          <w:numId w:val="1003"/>
        </w:numPr>
        <w:pStyle w:val="Compact"/>
      </w:pPr>
      <w:r>
        <w:t xml:space="preserve">Securing competitive grant funding to sustain long-term projects.</w:t>
      </w:r>
    </w:p>
    <w:bookmarkEnd w:id="25"/>
    <w:bookmarkStart w:id="26" w:name="societal-relevance"/>
    <w:p>
      <w:pPr>
        <w:pStyle w:val="Heading3"/>
      </w:pPr>
      <w:r>
        <w:t xml:space="preserve">2. Societal Relevance</w:t>
      </w:r>
    </w:p>
    <w:p>
      <w:pPr>
        <w:numPr>
          <w:ilvl w:val="0"/>
          <w:numId w:val="1004"/>
        </w:numPr>
        <w:pStyle w:val="Compact"/>
      </w:pPr>
      <w:r>
        <w:t xml:space="preserve">Translating complex findings into actionable policy advice for local stakeholders in Egypt Alexandria.</w:t>
      </w:r>
    </w:p>
    <w:p>
      <w:pPr>
        <w:numPr>
          <w:ilvl w:val="0"/>
          <w:numId w:val="1004"/>
        </w:numPr>
        <w:pStyle w:val="Compact"/>
      </w:pPr>
      <w:r>
        <w:t xml:space="preserve">Engaging with industry partners to foster innovation and economic growth within the region.</w:t>
      </w:r>
    </w:p>
    <w:bookmarkEnd w:id="26"/>
    <w:p>
      <w:pPr>
        <w:pStyle w:val="FirstParagraph"/>
      </w:pPr>
      <w:r>
        <w:t xml:space="preserve">Slide 4 Egypt Alexandria as a Strategic Hub</w:t>
      </w:r>
    </w:p>
    <w:p>
      <w:pPr>
        <w:pStyle w:val="BodyText"/>
      </w:pPr>
      <w:r>
        <w:t xml:space="preserve">Egypt Alexandria is not just a geographic location; it is a strategic nexus of culture, trade, and education.</w:t>
      </w:r>
    </w:p>
    <w:p>
      <w:pPr>
        <w:pStyle w:val="BodyText"/>
      </w:pPr>
      <w:r>
        <w:t xml:space="preserve">○</w:t>
      </w:r>
      <w:r>
        <w:t xml:space="preserve"> </w:t>
      </w:r>
      <w:r>
        <w:rPr>
          <w:bCs/>
          <w:b/>
        </w:rPr>
        <w:t xml:space="preserve">Historical Legacy:</w:t>
      </w:r>
    </w:p>
    <w:p>
      <w:pPr>
        <w:numPr>
          <w:ilvl w:val="0"/>
          <w:numId w:val="1005"/>
        </w:numPr>
        <w:pStyle w:val="Compact"/>
      </w:pPr>
      <w:r>
        <w:t xml:space="preserve">As home to the ancient Library of Alexandria, the city carries a symbolic weight that inspires academic ambition.</w:t>
      </w:r>
    </w:p>
    <w:p>
      <w:pPr>
        <w:pStyle w:val="FirstParagraph"/>
      </w:pPr>
      <w:r>
        <w:t xml:space="preserve">○</w:t>
      </w:r>
      <w:r>
        <w:t xml:space="preserve"> </w:t>
      </w:r>
      <w:r>
        <w:rPr>
          <w:bCs/>
          <w:b/>
        </w:rPr>
        <w:t xml:space="preserve">Economic Context:</w:t>
      </w:r>
    </w:p>
    <w:p>
      <w:pPr>
        <w:numPr>
          <w:ilvl w:val="0"/>
          <w:numId w:val="1006"/>
        </w:numPr>
        <w:pStyle w:val="Compact"/>
      </w:pPr>
      <w:r>
        <w:t xml:space="preserve">The region is undergoing significant economic diversification, creating demand for research in logistics, renewable energy, and biotechnology.</w:t>
      </w:r>
    </w:p>
    <w:p>
      <w:pPr>
        <w:pStyle w:val="FirstParagraph"/>
      </w:pPr>
      <w:r>
        <w:t xml:space="preserve">○</w:t>
      </w:r>
      <w:r>
        <w:t xml:space="preserve"> </w:t>
      </w:r>
      <w:r>
        <w:rPr>
          <w:bCs/>
          <w:b/>
        </w:rPr>
        <w:t xml:space="preserve">Educational Infrastructure:</w:t>
      </w:r>
    </w:p>
    <w:p>
      <w:pPr>
        <w:numPr>
          <w:ilvl w:val="0"/>
          <w:numId w:val="1007"/>
        </w:numPr>
        <w:pStyle w:val="Compact"/>
      </w:pPr>
      <w:r>
        <w:t xml:space="preserve">A dense concentration of universities in Egypt Alexandria fosters a competitive yet collaborative academic environment.</w:t>
      </w:r>
    </w:p>
    <w:p>
      <w:pPr>
        <w:pStyle w:val="FirstParagraph"/>
      </w:pPr>
      <w:r>
        <w:t xml:space="preserve">Slide 5 Key Challenges for Researchers</w:t>
      </w:r>
    </w:p>
    <w:p>
      <w:pPr>
        <w:pStyle w:val="BodyText"/>
      </w:pPr>
      <w:r>
        <w:t xml:space="preserve">Despite its potential, the academic landscape in Egypt Alexandria faces distinct hurdles.</w:t>
      </w:r>
    </w:p>
    <w:bookmarkStart w:id="27" w:name="resource-limitations"/>
    <w:p>
      <w:pPr>
        <w:pStyle w:val="Heading4"/>
      </w:pPr>
      <w:r>
        <w:t xml:space="preserve">1. Resource Limitations</w:t>
      </w:r>
    </w:p>
    <w:p>
      <w:pPr>
        <w:pStyle w:val="FirstParagraph"/>
      </w:pPr>
      <w:r>
        <w:t xml:space="preserve">Acknowledging that funding for advanced laboratory equipment and extensive field studies can be constrained in Egypt Alexandria requires innovative approaches to resource management.</w:t>
      </w:r>
    </w:p>
    <w:bookmarkEnd w:id="27"/>
    <w:bookmarkStart w:id="28" w:name="bureaucratic-hurdles"/>
    <w:p>
      <w:pPr>
        <w:pStyle w:val="Heading4"/>
      </w:pPr>
      <w:r>
        <w:t xml:space="preserve">2. Bureaucratic Hurdles</w:t>
      </w:r>
    </w:p>
    <w:p>
      <w:pPr>
        <w:pStyle w:val="FirstParagraph"/>
      </w:pPr>
      <w:r>
        <w:t xml:space="preserve">Navigating administrative processes for international collaboration, particularly in Egypt Alexandria, can sometimes delay critical research timelines.</w:t>
      </w:r>
    </w:p>
    <w:bookmarkEnd w:id="28"/>
    <w:bookmarkStart w:id="29" w:name="brain-drain"/>
    <w:p>
      <w:pPr>
        <w:pStyle w:val="Heading4"/>
      </w:pPr>
      <w:r>
        <w:t xml:space="preserve">3. Brain Drain</w:t>
      </w:r>
    </w:p>
    <w:p>
      <w:pPr>
        <w:pStyle w:val="FirstParagraph"/>
      </w:pPr>
      <w:r>
        <w:t xml:space="preserve">Maintaining top academic talent within Egypt Alexandria, rather than losing them to better-funded institutions abroad, remains a persistent challenge for local universities.</w:t>
      </w:r>
    </w:p>
    <w:bookmarkEnd w:id="29"/>
    <w:p>
      <w:pPr>
        <w:pStyle w:val="BodyText"/>
      </w:pPr>
      <w:r>
        <w:t xml:space="preserve">Slide 6 Strategic Opportunities</w:t>
      </w:r>
    </w:p>
    <w:p>
      <w:pPr>
        <w:pStyle w:val="BodyText"/>
      </w:pPr>
      <w:r>
        <w:t xml:space="preserve">However, challenges present opportunities. The Academic Researcher in Egypt Alexandria is uniquely positioned to leverage these assets.</w:t>
      </w:r>
    </w:p>
    <w:p>
      <w:pPr>
        <w:pStyle w:val="BodyText"/>
      </w:pPr>
      <w:r>
        <w:t xml:space="preserve">○</w:t>
      </w:r>
      <w:r>
        <w:t xml:space="preserve"> </w:t>
      </w:r>
      <w:r>
        <w:rPr>
          <w:bCs/>
          <w:b/>
        </w:rPr>
        <w:t xml:space="preserve">Digital Transformation:</w:t>
      </w:r>
    </w:p>
    <w:p>
      <w:pPr>
        <w:numPr>
          <w:ilvl w:val="0"/>
          <w:numId w:val="1008"/>
        </w:numPr>
        <w:pStyle w:val="Compact"/>
      </w:pPr>
      <w:r>
        <w:t xml:space="preserve">Adopting digital tools for data analysis and remote collaboration can mitigate physical resource limitations.</w:t>
      </w:r>
    </w:p>
    <w:p>
      <w:pPr>
        <w:pStyle w:val="FirstParagraph"/>
      </w:pPr>
      <w:r>
        <w:t xml:space="preserve">○</w:t>
      </w:r>
      <w:r>
        <w:t xml:space="preserve"> </w:t>
      </w:r>
      <w:r>
        <w:rPr>
          <w:bCs/>
          <w:b/>
        </w:rPr>
        <w:t xml:space="preserve">Regional Partnerships:</w:t>
      </w:r>
    </w:p>
    <w:p>
      <w:pPr>
        <w:numPr>
          <w:ilvl w:val="0"/>
          <w:numId w:val="1009"/>
        </w:numPr>
        <w:pStyle w:val="Compact"/>
      </w:pPr>
      <w:r>
        <w:t xml:space="preserve">Building stronger ties between universities in Egypt Alexandria creates economies of scale in research.</w:t>
      </w:r>
    </w:p>
    <w:p>
      <w:pPr>
        <w:pStyle w:val="FirstParagraph"/>
      </w:pPr>
      <w:r>
        <w:t xml:space="preserve">○</w:t>
      </w:r>
      <w:r>
        <w:t xml:space="preserve"> </w:t>
      </w:r>
      <w:r>
        <w:rPr>
          <w:bCs/>
          <w:b/>
        </w:rPr>
        <w:t xml:space="preserve">Niche Specialization:</w:t>
      </w:r>
    </w:p>
    <w:p>
      <w:pPr>
        <w:numPr>
          <w:ilvl w:val="0"/>
          <w:numId w:val="1010"/>
        </w:numPr>
        <w:pStyle w:val="Compact"/>
      </w:pPr>
      <w:r>
        <w:t xml:space="preserve">Focusing on region-specific issues such as water scarcity or Mediterranean ecology allows researchers in Egypt Alexandria to become global experts.</w:t>
      </w:r>
    </w:p>
    <w:p>
      <w:pPr>
        <w:pStyle w:val="FirstParagraph"/>
      </w:pPr>
      <w:r>
        <w:t xml:space="preserve">Slide 7 Enhancing Global Visibility</w:t>
      </w:r>
    </w:p>
    <w:p>
      <w:pPr>
        <w:pStyle w:val="BodyText"/>
      </w:pPr>
      <w:r>
        <w:t xml:space="preserve">To truly impact the world, Academic Researchers in Egypt Alexandria must enhance their international presence.</w:t>
      </w:r>
    </w:p>
    <w:bookmarkStart w:id="30" w:name="actions-for-visibility"/>
    <w:p>
      <w:pPr>
        <w:pStyle w:val="Heading4"/>
      </w:pPr>
      <w:r>
        <w:t xml:space="preserve">Actions for Visibility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Academic Researcher in Egypt Alexandria</dc:title>
  <dc:creator/>
  <dc:language>en</dc:language>
  <cp:keywords/>
  <dcterms:created xsi:type="dcterms:W3CDTF">2026-07-29T15:35:21Z</dcterms:created>
  <dcterms:modified xsi:type="dcterms:W3CDTF">2026-07-29T15:35:21Z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