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seminar-presentation-slides"/>
    <w:p>
      <w:pPr>
        <w:pStyle w:val="Heading1"/>
      </w:pPr>
      <w:r>
        <w:t xml:space="preserve">Seminar Presentation Slides</w:t>
      </w:r>
    </w:p>
    <w:p>
      <w:pPr>
        <w:pStyle w:val="FirstParagraph"/>
      </w:pPr>
      <w:r>
        <w:rPr>
          <w:bCs/>
          <w:b/>
        </w:rPr>
        <w:t xml:space="preserve">Title:</w:t>
      </w:r>
      <w:r>
        <w:t xml:space="preserve"> </w:t>
      </w:r>
      <w:r>
        <w:t xml:space="preserve">Strategic Financial Stewardship: The Evolving Role of the Accountant in United States Miami</w:t>
      </w:r>
    </w:p>
    <w:p>
      <w:pPr>
        <w:pStyle w:val="BodyText"/>
      </w:pPr>
      <w:r>
        <w:rPr>
          <w:bCs/>
          <w:b/>
        </w:rPr>
        <w:t xml:space="preserve">Audience:</w:t>
      </w:r>
      <w:r>
        <w:t xml:space="preserve"> </w:t>
      </w:r>
      <w:r>
        <w:t xml:space="preserve">Business Owners, Corporate Executives, and Finance Students</w:t>
      </w:r>
    </w:p>
    <w:p>
      <w:r>
        <w:pict>
          <v:rect style="width:0;height:1.5pt" o:hralign="center" o:hrstd="t" o:hr="t"/>
        </w:pict>
      </w:r>
    </w:p>
    <w:bookmarkStart w:id="23" w:name="slide-1-introduction-and-context"/>
    <w:p>
      <w:pPr>
        <w:pStyle w:val="Heading2"/>
      </w:pPr>
      <w:r>
        <w:t xml:space="preserve">Slide 1: Introduction and Context</w:t>
      </w:r>
    </w:p>
    <w:p>
      <w:pPr>
        <w:pStyle w:val="FirstParagraph"/>
      </w:pPr>
      <w:r>
        <w:rPr>
          <w:bCs/>
          <w:b/>
        </w:rPr>
        <w:t xml:space="preserve">Welcome to our seminar.</w:t>
      </w:r>
      <w:r>
        <w:t xml:space="preserve"> </w:t>
      </w:r>
      <w:r>
        <w:t xml:space="preserve">Today, we are diving deep into the critical role of the Accountant within one of the most dynamic economic hubs in North America. We will explore how traditional accounting principles intersect with modern business demands specifically within United States Miami.</w:t>
      </w:r>
    </w:p>
    <w:p>
      <w:pPr>
        <w:pStyle w:val="BodyText"/>
      </w:pPr>
      <w:r>
        <w:t xml:space="preserve">Miami is no longer just a tourism capital; it is a burgeoning financial center for Latin America and Europe. Consequently, the demand for sophisticated financial expertise has skyrocketed. This presentation aims to redefine the perception of an Accountant from mere number-crunchers to strategic partners essential for navigating this complex landscape.</w:t>
      </w:r>
    </w:p>
    <w:p>
      <w:pPr>
        <w:pStyle w:val="BodyText"/>
      </w:pPr>
      <w:r>
        <w:t xml:space="preserve">Overview of Miami’s economic trajectory.</w:t>
      </w:r>
    </w:p>
    <w:p>
      <w:pPr>
        <w:pStyle w:val="BodyText"/>
      </w:pPr>
      <w:r>
        <w:t xml:space="preserve">The shifting paradigm of the modern Accountant.</w:t>
      </w:r>
    </w:p>
    <w:p>
      <w:pPr>
        <w:pStyle w:val="BodyText"/>
      </w:pPr>
      <w:r>
        <w:t xml:space="preserve">&lt;2. Key challenges and opportunities in United States Miami&gt;.Slide 2: The Unique Economic Landscape of United States Miami</w:t>
      </w:r>
    </w:p>
    <w:p>
      <w:pPr>
        <w:pStyle w:val="BodyText"/>
      </w:pPr>
      <w:r>
        <w:t xml:space="preserve">*</w:t>
      </w:r>
    </w:p>
    <w:p>
      <w:pPr>
        <w:pStyle w:val="BodyText"/>
      </w:pPr>
      <w:r>
        <w:rPr>
          <w:bCs/>
          <w:b/>
        </w:rPr>
        <w:t xml:space="preserve">United States Miami</w:t>
      </w:r>
    </w:p>
    <w:bookmarkStart w:id="20" w:name="the-gateway-to-the-americas"/>
    <w:p>
      <w:pPr>
        <w:pStyle w:val="Heading3"/>
      </w:pPr>
      <w:r>
        <w:t xml:space="preserve">The Gateway to the Americas</w:t>
      </w:r>
    </w:p>
    <w:p>
      <w:pPr>
        <w:pStyle w:val="FirstParagraph"/>
      </w:pPr>
      <w:r>
        <w:t xml:space="preserve">Miami’s geographic position makes it the premier gateway for international trade between North America and Latin America. For any business operating in this region, compliance with both U.S. federal tax laws and international regulations from partner countries is paramount.</w:t>
      </w:r>
    </w:p>
    <w:bookmarkEnd w:id="20"/>
    <w:bookmarkStart w:id="21" w:name="the-no-income-tax-advantage"/>
    <w:p>
      <w:pPr>
        <w:pStyle w:val="Heading3"/>
      </w:pPr>
      <w:r>
        <w:t xml:space="preserve">The No-Income Tax Advantage</w:t>
      </w:r>
    </w:p>
    <w:p>
      <w:pPr>
        <w:pStyle w:val="FirstParagraph"/>
      </w:pPr>
      <w:r>
        <w:t xml:space="preserve">One of the most significant factors driving migration of high-net-worth individuals and corporations to Florida is the absence of state personal income tax. However, this benefit comes with complexities regarding federal taxation, sales tax (which does apply in Florida), and corporate registration. The modern Accountant must master these nuances to maximize client benefits while ensuring strict compliance.</w:t>
      </w:r>
    </w:p>
    <w:bookmarkEnd w:id="21"/>
    <w:bookmarkStart w:id="22" w:name="real-estate-and-construction-boom"/>
    <w:p>
      <w:pPr>
        <w:pStyle w:val="Heading3"/>
      </w:pPr>
      <w:r>
        <w:t xml:space="preserve">Real Estate and Construction Boom</w:t>
      </w:r>
    </w:p>
    <w:p>
      <w:pPr>
        <w:pStyle w:val="FirstParagraph"/>
      </w:pPr>
      <w:r>
        <w:t xml:space="preserve">The unprecedented growth in luxury real estate and infrastructure projects creates a high demand for construction accounting, property tax assessments, and capital improvements reporting. An Accountant specializing in this sector must understand percentage-of-completion methods and local zoning financial implications.</w:t>
      </w:r>
    </w:p>
    <w:p>
      <w:r>
        <w:pict>
          <v:rect style="width:0;height:1.5pt" o:hralign="center" o:hrstd="t" o:hr="t"/>
        </w:pict>
      </w:r>
    </w:p>
    <w:bookmarkEnd w:id="22"/>
    <w:bookmarkEnd w:id="23"/>
    <w:bookmarkStart w:id="26" w:name="Xc762f176a40ceafcf24c85f898163ea167633c8"/>
    <w:p>
      <w:pPr>
        <w:pStyle w:val="Heading2"/>
      </w:pPr>
      <w:r>
        <w:t xml:space="preserve">Slide 3: The Accountant as a Strategic Partner</w:t>
      </w:r>
    </w:p>
    <w:p>
      <w:pPr>
        <w:pStyle w:val="FirstParagraph"/>
      </w:pPr>
      <w:r>
        <w:rPr>
          <w:bCs/>
          <w:b/>
        </w:rPr>
        <w:t xml:space="preserve">Moving Beyond Compliance:</w:t>
      </w:r>
    </w:p>
    <w:p>
      <w:pPr>
        <w:pStyle w:val="BodyText"/>
      </w:pPr>
      <w:r>
        <w:t xml:space="preserve">In the past, the primary role of an Accountant was retrospective—recording what had already happened. In United States Miami, due to the fast pace of business and international cross-border transactions, this model is obsolete. Today’s Accountant must be prospective.</w:t>
      </w:r>
    </w:p>
    <w:p>
      <w:pPr>
        <w:pStyle w:val="BodyText"/>
      </w:pPr>
      <w:r>
        <w:rPr>
          <w:bCs/>
          <w:b/>
        </w:rPr>
        <w:t xml:space="preserve">Cash Flow Management:</w:t>
      </w:r>
      <w:r>
        <w:t xml:space="preserve"> </w:t>
      </w:r>
      <w:r>
        <w:t xml:space="preserve">With rapid growth comes cash flow volatility. Accountants provide real-time insights to ensure liquidity for expansion.</w:t>
      </w:r>
    </w:p>
    <w:p>
      <w:pPr>
        <w:pStyle w:val="BodyText"/>
      </w:pPr>
      <w:r>
        <w:rPr>
          <w:bCs/>
          <w:b/>
        </w:rPr>
        <w:t xml:space="preserve">Risk Assessment:</w:t>
      </w:r>
      <w:r>
        <w:t xml:space="preserve"> </w:t>
      </w:r>
      <w:r>
        <w:t xml:space="preserve">Identifying financial risks related to foreign exchange fluctuations, especially given Miami’s heavy interaction with Brazilian, Colombian, and Argentine markets.</w:t>
      </w:r>
    </w:p>
    <w:p>
      <w:pPr>
        <w:pStyle w:val="BodyText"/>
      </w:pPr>
      <w:r>
        <w:t xml:space="preserve">Tax Strategy:Slide 4: Navigating Complex Tax Regulations in United States Miami</w:t>
      </w:r>
    </w:p>
    <w:p>
      <w:pPr>
        <w:pStyle w:val="BodyText"/>
      </w:pPr>
      <w:r>
        <w:t xml:space="preserve">*</w:t>
      </w:r>
    </w:p>
    <w:bookmarkStart w:id="24" w:name="federal-vs.-state-dynamics"/>
    <w:p>
      <w:pPr>
        <w:pStyle w:val="Heading3"/>
      </w:pPr>
      <w:r>
        <w:t xml:space="preserve">Federal vs. State Dynamics</w:t>
      </w:r>
    </w:p>
    <w:p>
      <w:pPr>
        <w:pStyle w:val="FirstParagraph"/>
      </w:pPr>
      <w:r>
        <w:t xml:space="preserve">An Accountant operating in Florida must navigate a unique tax environment. While there is no state income tax, there are significant other obligations:</w:t>
      </w:r>
    </w:p>
    <w:p>
      <w:pPr>
        <w:pStyle w:val="BodyText"/>
      </w:pPr>
      <w:r>
        <w:rPr>
          <w:bCs/>
          <w:b/>
        </w:rPr>
        <w:t xml:space="preserve">Sales and Use Tax:</w:t>
      </w:r>
      <w:r>
        <w:t xml:space="preserve"> </w:t>
      </w:r>
      <w:r>
        <w:t xml:space="preserve">Understanding the 6% state rate plus potential local surtaxes.</w:t>
      </w:r>
    </w:p>
    <w:p>
      <w:pPr>
        <w:pStyle w:val="BodyText"/>
      </w:pPr>
      <w:r>
        <w:rPr>
          <w:bCs/>
          <w:b/>
        </w:rPr>
        <w:t xml:space="preserve">Tourist Development Tax:</w:t>
      </w:r>
      <w:r>
        <w:t xml:space="preserve"> </w:t>
      </w:r>
      <w:r>
        <w:t xml:space="preserve">Specific to Miami-Dade County, affecting hospitality businesses. An Accountant must ensure proper collection and remittance.</w:t>
      </w:r>
    </w:p>
    <w:p>
      <w:pPr>
        <w:pStyle w:val="BodyText"/>
      </w:pPr>
      <w:r>
        <w:rPr>
          <w:bCs/>
          <w:b/>
        </w:rPr>
        <w:t xml:space="preserve">Federal Expatriation Taxes:</w:t>
      </w:r>
    </w:p>
    <w:p>
      <w:pPr>
        <w:pStyle w:val="BodyText"/>
      </w:pPr>
      <w:r>
        <w:t xml:space="preserve">Slide 5: Technology and Automation in Accounting</w:t>
      </w:r>
    </w:p>
    <w:p>
      <w:pPr>
        <w:pStyle w:val="BodyText"/>
      </w:pPr>
      <w:r>
        <w:t xml:space="preserve">*</w:t>
      </w:r>
    </w:p>
    <w:bookmarkEnd w:id="24"/>
    <w:bookmarkStart w:id="25" w:name="digital-transformation"/>
    <w:p>
      <w:pPr>
        <w:pStyle w:val="Heading3"/>
      </w:pPr>
      <w:r>
        <w:t xml:space="preserve">Digital Transformation</w:t>
      </w:r>
    </w:p>
    <w:p>
      <w:pPr>
        <w:pStyle w:val="FirstParagraph"/>
      </w:pPr>
      <w:r>
        <w:t xml:space="preserve">The modern Accountant in United States Miami cannot afford to rely on manual spreadsheets. The integration of AI-driven accounting software, cloud-based platforms, and automated payroll systems is essential.</w:t>
      </w:r>
    </w:p>
    <w:p>
      <w:pPr>
        <w:numPr>
          <w:ilvl w:val="0"/>
          <w:numId w:val="1001"/>
        </w:numPr>
        <w:pStyle w:val="Compact"/>
      </w:pPr>
      <w:r>
        <w:rPr>
          <w:bCs/>
          <w:b/>
        </w:rPr>
        <w:t xml:space="preserve">Data Security: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United States Miami</dc:title>
  <dc:creator/>
  <dc:language>en</dc:language>
  <cp:keywords/>
  <dcterms:created xsi:type="dcterms:W3CDTF">2026-07-29T15:37:55Z</dcterms:created>
  <dcterms:modified xsi:type="dcterms:W3CDTF">2026-07-29T15:37:55Z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