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Iran</w:t>
      </w:r>
      <w:r>
        <w:t xml:space="preserve"> </w:t>
      </w:r>
      <w:r>
        <w:t xml:space="preserve">Tehran</w:t>
      </w:r>
    </w:p>
    <w:bookmarkStart w:id="20" w:name="X7f84407cb841666ae936f51318d2c3d62e86b71"/>
    <w:p>
      <w:pPr>
        <w:pStyle w:val="Heading1"/>
      </w:pPr>
      <w:r>
        <w:t xml:space="preserve">Seminar Presentation Slides: The Modern Banker in Iran Tehran</w:t>
      </w:r>
    </w:p>
    <w:p>
      <w:pPr>
        <w:pStyle w:val="FirstParagraph"/>
      </w:pPr>
      <w:r>
        <w:t xml:space="preserve">Slide 1: Introduction – The Evolving Role of the Banker in Tehran</w:t>
      </w:r>
    </w:p>
    <w:p>
      <w:pPr>
        <w:pStyle w:val="BodyText"/>
      </w:pPr>
      <w:r>
        <w:rPr>
          <w:bCs/>
          <w:b/>
        </w:rPr>
        <w:t xml:space="preserve">Welcome to this specialized seminar focused on the financial landscape of Iran, specifically within the capital city of Tehran.</w:t>
      </w:r>
      <w:r>
        <w:t xml:space="preserve"> </w:t>
      </w:r>
      <w:r>
        <w:t xml:space="preserve">Today, we will explore how the traditional definition of a "Banker" is undergoing a radical transformation. In Iran Tehran, bankers are no longer merely custodians of wealth; they have become critical agents of economic stability, technological adoption, and social responsibility. This presentation aims to dissect the multifaceted role of the banker in one of the most complex and resilient financial markets in the Middle East.</w:t>
      </w:r>
    </w:p>
    <w:p>
      <w:pPr>
        <w:pStyle w:val="BodyText"/>
      </w:pPr>
      <w:r>
        <w:t xml:space="preserve">The context is unique: a blend of ancient banking traditions, modern Islamic finance principles, and intense pressure from global sanctions. Understanding these dynamics is crucial for anyone looking to engage with or understand the Iranian economic sphere. We will examine how bankers in Iran Tehran navigate these challenges to foster growth and maintain liquidity.</w:t>
      </w:r>
    </w:p>
    <w:p>
      <w:pPr>
        <w:pStyle w:val="BodyText"/>
      </w:pPr>
      <w:r>
        <w:t xml:space="preserve">Slide 2: The Unique Regulatory Environment</w:t>
      </w:r>
    </w:p>
    <w:p>
      <w:pPr>
        <w:pStyle w:val="BodyText"/>
      </w:pPr>
      <w:r>
        <w:rPr>
          <w:bCs/>
          <w:b/>
        </w:rPr>
        <w:t xml:space="preserve">The Central Bank of the Islamic Republic of Iran (CBI) plays a pivotal role in shaping banker behavior.</w:t>
      </w:r>
      <w:r>
        <w:t xml:space="preserve"> </w:t>
      </w:r>
      <w:r>
        <w:t xml:space="preserve">Unlike conventional markets, bankers in Tehran operate under strict Shari'a compliance laws. This means that interest (Riba) is prohibited, and all financial instruments must be structured around profit-and-loss sharing or trade-based contracts such as</w:t>
      </w:r>
      <w:r>
        <w:t xml:space="preserve"> </w:t>
      </w:r>
      <w:r>
        <w:rPr>
          <w:iCs/>
          <w:i/>
        </w:rPr>
        <w:t xml:space="preserve">Mudarabah</w:t>
      </w:r>
      <w:r>
        <w:t xml:space="preserve">,</w:t>
      </w:r>
      <w:r>
        <w:t xml:space="preserve"> </w:t>
      </w:r>
      <w:r>
        <w:rPr>
          <w:iCs/>
          <w:i/>
        </w:rPr>
        <w:t xml:space="preserve">Musharakah</w:t>
      </w:r>
      <w:r>
        <w:t xml:space="preserve">, and</w:t>
      </w:r>
      <w:r>
        <w:t xml:space="preserve"> </w:t>
      </w:r>
      <w:r>
        <w:rPr>
          <w:iCs/>
          <w:i/>
          <w:bCs/>
          <w:b/>
        </w:rPr>
        <w:t xml:space="preserve">Qard al-Hasan</w:t>
      </w:r>
      <w:r>
        <w:t xml:space="preserve">.</w:t>
      </w:r>
    </w:p>
    <w:p>
      <w:pPr>
        <w:pStyle w:val="BodyText"/>
      </w:pPr>
      <w:r>
        <w:t xml:space="preserve">In Iran Tehran, this regulatory framework requires bankers to possess deep theological knowledge alongside financial acumen. The seminar highlights that a successful banker here must be dual-qualified: understanding both international risk management standards and local Islamic jurisprudence. This dual expertise is essential for creating products that are both commercially viable and religiously compliant.</w:t>
      </w:r>
    </w:p>
    <w:p>
      <w:pPr>
        <w:pStyle w:val="BodyText"/>
      </w:pPr>
      <w:r>
        <w:t xml:space="preserve">Slide 3: Navigating Sanctions and Isolation</w:t>
      </w:r>
    </w:p>
    <w:p>
      <w:pPr>
        <w:pStyle w:val="BodyText"/>
      </w:pPr>
      <w:r>
        <w:rPr>
          <w:bCs/>
          <w:b/>
        </w:rPr>
        <w:t xml:space="preserve">One of the most defining characteristics of being a banker in Iran Tehran today is operating under international sanctions.</w:t>
      </w:r>
      <w:r>
        <w:t xml:space="preserve"> </w:t>
      </w:r>
      <w:r>
        <w:t xml:space="preserve">This isolation has forced local institutions to develop robust, independent financial ecosystems. Bankers here have become experts in alternative payment systems, barter trade financing, and regional currency swaps with neighboring countries such as Iraq and Oman.</w:t>
      </w:r>
    </w:p>
    <w:p>
      <w:pPr>
        <w:pStyle w:val="BodyText"/>
      </w:pPr>
      <w:r>
        <w:t xml:space="preserve">The seminar emphasizes that resilience is the primary trait of the modern banker in this region. They must constantly innovate to bypass blockades while ensuring that legitimate trade continues to flow. This has led to a highly sophisticated underground network of financial diplomacy, where bankers act not just as financial officers, but as geopolitical negotiators who secure supply chains for essential goods.</w:t>
      </w:r>
    </w:p>
    <w:p>
      <w:pPr>
        <w:pStyle w:val="BodyText"/>
      </w:pPr>
      <w:r>
        <w:t xml:space="preserve">Slide 4: Digital Transformation in Tehran</w:t>
      </w:r>
    </w:p>
    <w:p>
      <w:pPr>
        <w:pStyle w:val="BodyText"/>
      </w:pPr>
      <w:r>
        <w:rPr>
          <w:bCs/>
          <w:b/>
        </w:rPr>
        <w:t xml:space="preserve">The rise of Fintech in Iran has been accelerated by necessity.</w:t>
      </w:r>
      <w:r>
        <w:t xml:space="preserve"> </w:t>
      </w:r>
      <w:r>
        <w:t xml:space="preserve">With limited access to global platforms like Visa and Mastercard, domestic digital payment solutions have flourished. Bankers in Iran Tehran are now leading the charge in implementing blockchain technologies, mobile banking apps, and real-time gross settlement systems that operate independently of SWIFT.</w:t>
      </w:r>
    </w:p>
    <w:p>
      <w:pPr>
        <w:pStyle w:val="BodyText"/>
      </w:pPr>
      <w:r>
        <w:t xml:space="preserve">This slide underscores the shift from traditional brick-and-mortar banking to agile digital services. In Tehran, a young demographic is driving this change. Bankers must adapt by offering seamless user experiences through local platforms such as "Ap" and various national payment gateways. The modern banker here is also a tech-advocate, educating customers on cybersecurity and digital literacy.</w:t>
      </w:r>
    </w:p>
    <w:p>
      <w:pPr>
        <w:pStyle w:val="BodyText"/>
      </w:pPr>
      <w:r>
        <w:t xml:space="preserve">Slide 5: Islamic Finance as a Global Export</w:t>
      </w:r>
    </w:p>
    <w:p>
      <w:pPr>
        <w:pStyle w:val="BodyText"/>
      </w:pPr>
      <w:r>
        <w:rPr>
          <w:bCs/>
          <w:b/>
        </w:rPr>
        <w:t xml:space="preserve">Iran Tehran is positioning itself as a hub for Islamic Finance expertise.</w:t>
      </w:r>
      <w:r>
        <w:t xml:space="preserve"> </w:t>
      </w:r>
      <w:r>
        <w:t xml:space="preserve">The seminars conducted by Iranian financial institutions are increasingly attracting international attention from Muslim-majority countries seeking to establish ethical banking frameworks. Bankers here are exporting their models of risk-sharing and social welfare-oriented finance.</w:t>
      </w:r>
    </w:p>
    <w:p>
      <w:pPr>
        <w:pStyle w:val="BodyText"/>
      </w:pPr>
      <w:r>
        <w:t xml:space="preserve">We will discuss how bankers in Tehran are collaborating with global partners in Malaysia and the GCC (Gulf Cooperation Council) to standardize Islamic financial products. This export of expertise enhances Iran's soft power and provides a new revenue stream for its banking sector, demonstrating that the role of the banker extends beyond local deposit management to international knowledge transfer.</w:t>
      </w:r>
    </w:p>
    <w:p>
      <w:pPr>
        <w:pStyle w:val="BodyText"/>
      </w:pPr>
      <w:r>
        <w:t xml:space="preserve">Slide 6: Challenges in Inflation and Currency Fluctuation</w:t>
      </w:r>
    </w:p>
    <w:p>
      <w:pPr>
        <w:pStyle w:val="BodyText"/>
      </w:pPr>
      <w:r>
        <w:rPr>
          <w:bCs/>
          <w:b/>
        </w:rPr>
        <w:t xml:space="preserve">Economic volatility is a constant companion in Iran Tehran.</w:t>
      </w:r>
      <w:r>
        <w:t xml:space="preserve"> </w:t>
      </w:r>
      <w:r>
        <w:t xml:space="preserve">High inflation rates and currency devaluation pose significant risks to bank balance sheets. Bankers must employ sophisticated hedging strategies to protect their clients' assets. This involves advising on real estate investments, gold markets, and foreign exchange within legal boundaries.</w:t>
      </w:r>
    </w:p>
    <w:p>
      <w:pPr>
        <w:pStyle w:val="BodyText"/>
      </w:pPr>
      <w:r>
        <w:t xml:space="preserve">The seminar highlights that trust is the most valuable currency for a banker in this environment. When the rial fluctuates, customers look to bankers for stability and honest advice. Therefore, communication skills are paramount. Bankers must explain complex economic trends clearly to retail clients who may be losing purchasing power daily.</w:t>
      </w:r>
    </w:p>
    <w:p>
      <w:pPr>
        <w:pStyle w:val="BodyText"/>
      </w:pPr>
      <w:r>
        <w:t xml:space="preserve">Slide 7: Corporate Banking and SME Support</w:t>
      </w:r>
    </w:p>
    <w:p>
      <w:pPr>
        <w:pStyle w:val="BodyText"/>
      </w:pPr>
      <w:r>
        <w:rPr>
          <w:bCs/>
          <w:b/>
        </w:rPr>
        <w:t xml:space="preserve">The backbone of the Iranian economy lies in its Small and Medium Enterprises (SMEs).</w:t>
      </w:r>
      <w:r>
        <w:t xml:space="preserve"> </w:t>
      </w:r>
      <w:r>
        <w:t xml:space="preserve">Bankers in Iran Tehran play a crucial role in providing micro-finance and startup capital. However, due to risk aversion caused by economic uncertainty, traditional lending is often tight. This has led to the rise of venture debt and equity financing structures compliant with Islamic law.</w:t>
      </w:r>
    </w:p>
    <w:p>
      <w:pPr>
        <w:pStyle w:val="BodyText"/>
      </w:pPr>
      <w:r>
        <w:t xml:space="preserve">We will analyze case studies from major banks in Tehran that have successfully supported tech startups in sectors like IT, biotechnology, and renewable energy. The banker’s role here is that of a mentor and investor, guiding young entrepreneurs through regulatory hurdles while managing their own credit risk exposure.</w:t>
      </w:r>
    </w:p>
    <w:p>
      <w:pPr>
        <w:pStyle w:val="BodyText"/>
      </w:pPr>
      <w:r>
        <w:t xml:space="preserve">Slide 8: Ethical Banking and Social Responsibility</w:t>
      </w:r>
    </w:p>
    <w:p>
      <w:pPr>
        <w:pStyle w:val="BodyText"/>
      </w:pPr>
      <w:r>
        <w:rPr>
          <w:bCs/>
          <w:b/>
        </w:rPr>
        <w:t xml:space="preserve">In Iran, banking is viewed through a moral lens.</w:t>
      </w:r>
      <w:r>
        <w:t xml:space="preserve"> </w:t>
      </w:r>
      <w:r>
        <w:t xml:space="preserve">The concept of "Social Responsibility" for a banker in Tehran goes beyond CSR (Corporate Social Responsibility) reports; it is embedded in the core business model. Banks are encouraged to fund projects that benefit society, such as affordable housing and rural development.</w:t>
      </w:r>
    </w:p>
    <w:p>
      <w:pPr>
        <w:pStyle w:val="BodyText"/>
      </w:pPr>
      <w:r>
        <w:t xml:space="preserve">This slide discusses the role of</w:t>
      </w:r>
      <w:r>
        <w:t xml:space="preserve"> </w:t>
      </w:r>
      <w:r>
        <w:rPr>
          <w:iCs/>
          <w:i/>
        </w:rPr>
        <w:t xml:space="preserve">Bonyads</w:t>
      </w:r>
      <w:r>
        <w:t xml:space="preserve"> </w:t>
      </w:r>
      <w:r>
        <w:t xml:space="preserve">(foundations) and how private bankers collaborate with state entities to distribute wealth more evenly. The modern banker is expected to be a guardian of social equity, ensuring that financial services reach underserved populations in provinces outside of Tehran, thereby promoting national cohesion.</w:t>
      </w:r>
    </w:p>
    <w:p>
      <w:pPr>
        <w:pStyle w:val="BodyText"/>
      </w:pPr>
      <w:r>
        <w:t xml:space="preserve">Slide 9: Future Outlook – The Post-Sanctions Scenario</w:t>
      </w:r>
    </w:p>
    <w:p>
      <w:pPr>
        <w:pStyle w:val="BodyText"/>
      </w:pPr>
      <w:r>
        <w:rPr>
          <w:bCs/>
          <w:b/>
        </w:rPr>
        <w:t xml:space="preserve">If and when geopolitical tensions ease, the banking sector in Iran Tehran will face both opportunities and threats.</w:t>
      </w:r>
      <w:r>
        <w:t xml:space="preserve"> </w:t>
      </w:r>
      <w:r>
        <w:t xml:space="preserve">Reintegration into the global financial system will require massive infrastructure upgrades. Bankers must prepare for increased competition from international banks.</w:t>
      </w:r>
    </w:p>
    <w:p>
      <w:pPr>
        <w:pStyle w:val="BodyText"/>
      </w:pPr>
      <w:r>
        <w:t xml:space="preserve">The seminar concludes that the bankers who succeed in this scenario will be those who have already modernized their operations, embraced digitalization, and maintained strong domestic roots while building bridges with regional partners. The future banker in Iran will be a hybrid professional: part local expert, part global citizen.</w:t>
      </w:r>
    </w:p>
    <w:p>
      <w:pPr>
        <w:pStyle w:val="BodyText"/>
      </w:pPr>
      <w:r>
        <w:t xml:space="preserve">Slide 10: Conclusion and Q&amp;A</w:t>
      </w:r>
    </w:p>
    <w:p>
      <w:pPr>
        <w:pStyle w:val="BodyText"/>
      </w:pPr>
      <w:r>
        <w:rPr>
          <w:bCs/>
          <w:b/>
        </w:rPr>
        <w:t xml:space="preserve">To summarize, the Banker in Iran Tehran is a complex, resilient, and innovative professional.</w:t>
      </w:r>
      <w:r>
        <w:t xml:space="preserve"> </w:t>
      </w:r>
      <w:r>
        <w:t xml:space="preserve">They operate in a unique ecosystem defined by Islamic finance principles, economic sanctions, rapid digital adoption, and strong social obligations.</w:t>
      </w:r>
    </w:p>
    <w:p>
      <w:pPr>
        <w:numPr>
          <w:ilvl w:val="0"/>
          <w:numId w:val="1001"/>
        </w:numPr>
        <w:pStyle w:val="Compact"/>
      </w:pPr>
      <w:r>
        <w:rPr>
          <w:bCs/>
          <w:b/>
        </w:rPr>
        <w:t xml:space="preserve">Cultural Competence:</w:t>
      </w:r>
      <w:r>
        <w:t xml:space="preserve"> </w:t>
      </w:r>
      <w:r>
        <w:t xml:space="preserve">Understanding local norms is non-negotiable.</w:t>
      </w:r>
    </w:p>
    <w:p>
      <w:pPr>
        <w:numPr>
          <w:ilvl w:val="0"/>
          <w:numId w:val="1001"/>
        </w:numPr>
        <w:pStyle w:val="Compact"/>
      </w:pPr>
      <w:r>
        <w:t xml:space="preserve">Digital transformation is not optional; it is survival.</w:t>
      </w:r>
    </w:p>
    <w:p>
      <w:pPr>
        <w:numPr>
          <w:ilvl w:val="0"/>
          <w:numId w:val="1001"/>
        </w:numPr>
        <w:pStyle w:val="Compact"/>
      </w:pPr>
      <w:r>
        <w:rPr>
          <w:bCs/>
          <w:b/>
        </w:rPr>
        <w:t xml:space="preserve">Economic Diplomacy:</w:t>
      </w:r>
      <w:r>
        <w:t xml:space="preserve">Navigating sanctions requires creativity and strategic thinking.</w:t>
      </w:r>
    </w:p>
    <w:p>
      <w:pPr>
        <w:pStyle w:val="FirstParagraph"/>
      </w:pPr>
      <w:r>
        <w:t xml:space="preserve">We invite you to ask questions regarding specific banking products, regulatory compliance in Tehran, or the future of Islamic finance globally.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Iran Tehran</dc:title>
  <dc:creator/>
  <dc:language>en</dc:language>
  <cp:keywords/>
  <dcterms:created xsi:type="dcterms:W3CDTF">2026-07-29T16:37:20Z</dcterms:created>
  <dcterms:modified xsi:type="dcterms:W3CDTF">2026-07-29T16:37:20Z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