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Iraq</w:t>
      </w:r>
      <w:r>
        <w:t xml:space="preserve"> </w:t>
      </w:r>
      <w:r>
        <w:t xml:space="preserve">Baghdad</w:t>
      </w:r>
    </w:p>
    <w:bookmarkStart w:id="20" w:name="X3475e137a4bb46ff0b97840554c188d3d936ea8"/>
    <w:p>
      <w:pPr>
        <w:pStyle w:val="Heading1"/>
      </w:pPr>
      <w:r>
        <w:t xml:space="preserve">Seminar Presentation Slides: Modern Banking in Iraq Baghdad</w:t>
      </w:r>
    </w:p>
    <w:p>
      <w:pPr>
        <w:pStyle w:val="FirstParagraph"/>
      </w:pPr>
      <w:r>
        <w:rPr>
          <w:bCs/>
          <w:b/>
        </w:rPr>
        <w:t xml:space="preserve">Brief Overview:</w:t>
      </w:r>
    </w:p>
    <w:p>
      <w:pPr>
        <w:numPr>
          <w:ilvl w:val="0"/>
          <w:numId w:val="1001"/>
        </w:numPr>
        <w:pStyle w:val="Compact"/>
      </w:pPr>
      <w:r>
        <w:t xml:space="preserve">Welcome to this comprehensive seminar presentation.</w:t>
      </w:r>
    </w:p>
    <w:p>
      <w:pPr>
        <w:numPr>
          <w:ilvl w:val="0"/>
          <w:numId w:val="1001"/>
        </w:numPr>
        <w:pStyle w:val="Compact"/>
      </w:pPr>
      <w:r>
        <w:t xml:space="preserve">We will explore the critical role of a modern financial institution within the developing economy of Iraq.</w:t>
      </w:r>
    </w:p>
    <w:p>
      <w:pPr>
        <w:numPr>
          <w:ilvl w:val="0"/>
          <w:numId w:val="1001"/>
        </w:numPr>
        <w:pStyle w:val="Compact"/>
      </w:pPr>
      <w:r>
        <w:t xml:space="preserve">This document outlines strategic adjustments required for success in Baghdad's unique market landscape, emphasizing regulatory compliance and customer trust. The discussion focuses heavily on how a banking entity must adapt to local cultural nuances and technological demands to thrive as a leading banker in the region.</w:t>
      </w:r>
    </w:p>
    <w:bookmarkEnd w:id="20"/>
    <w:bookmarkStart w:id="21" w:name="the-economic-context-of-iraq-baghdad"/>
    <w:p>
      <w:pPr>
        <w:pStyle w:val="Heading2"/>
      </w:pPr>
      <w:r>
        <w:t xml:space="preserve">The Economic Context of Iraq Baghdad</w:t>
      </w:r>
    </w:p>
    <w:p>
      <w:pPr>
        <w:pStyle w:val="FirstParagraph"/>
      </w:pPr>
      <w:r>
        <w:rPr>
          <w:bCs/>
          <w:b/>
        </w:rPr>
        <w:t xml:space="preserve">Moving Beyond Oil Dependency:</w:t>
      </w:r>
    </w:p>
    <w:p>
      <w:pPr>
        <w:pStyle w:val="BodyText"/>
      </w:pPr>
      <w:r>
        <w:t xml:space="preserve">In recent years, the government of Iraq Baghdad has initiated ambitious plans to diversify its economy beyond petroleum exports. For a successful banker, understanding this macroeconomic shift is paramount. The focus is now turning toward infrastructure development, private sector growth, and small-to-medium enterprise (SME) support.</w:t>
      </w:r>
    </w:p>
    <w:p>
      <w:pPr>
        <w:numPr>
          <w:ilvl w:val="0"/>
          <w:numId w:val="1002"/>
        </w:numPr>
        <w:pStyle w:val="Compact"/>
      </w:pPr>
      <w:r>
        <w:t xml:space="preserve">The central bank of Iraq Baghdad continues to implement policies that stabilize the Dinar while encouraging foreign direct investment.</w:t>
      </w:r>
    </w:p>
    <w:p>
      <w:pPr>
        <w:numPr>
          <w:ilvl w:val="0"/>
          <w:numId w:val="1002"/>
        </w:numPr>
        <w:pStyle w:val="Compact"/>
      </w:pPr>
      <w:r>
        <w:t xml:space="preserve">A growing middle class in Baghdad requires diverse financial products beyond traditional savings accounts.</w:t>
      </w:r>
    </w:p>
    <w:p>
      <w:pPr>
        <w:numPr>
          <w:ilvl w:val="0"/>
          <w:numId w:val="1002"/>
        </w:numPr>
        <w:pStyle w:val="Compact"/>
      </w:pPr>
      <w:r>
        <w:t xml:space="preserve">Digital transformation is accelerating, driven by a youthful population eager for fintech solutions and mobile banking services.</w:t>
      </w:r>
    </w:p>
    <w:p>
      <w:pPr>
        <w:pStyle w:val="FirstParagraph"/>
      </w:pPr>
      <w:r>
        <w:rPr>
          <w:bCs/>
          <w:b/>
        </w:rPr>
        <w:t xml:space="preserve">The Challenge:</w:t>
      </w:r>
    </w:p>
    <w:p>
      <w:pPr>
        <w:pStyle w:val="BodyText"/>
      </w:pPr>
      <w:r>
        <w:t xml:space="preserve">A banker operating in this environment must navigate the transition from a cash-heavy society to a digitized financial ecosystem. This requires significant investment in infrastructure and extensive educational campaigns for customers who are new to digital banking platforms.</w:t>
      </w:r>
    </w:p>
    <w:bookmarkEnd w:id="21"/>
    <w:bookmarkStart w:id="22" w:name="Xe7bb1a414b353a2a9a8ea4b442d607f317b8877"/>
    <w:p>
      <w:pPr>
        <w:pStyle w:val="Heading2"/>
      </w:pPr>
      <w:r>
        <w:t xml:space="preserve">The Role of the Banker in Community Development</w:t>
      </w:r>
    </w:p>
    <w:p>
      <w:pPr>
        <w:pStyle w:val="FirstParagraph"/>
      </w:pPr>
      <w:r>
        <w:rPr>
          <w:bCs/>
          <w:b/>
        </w:rPr>
        <w:t xml:space="preserve">Serving as a Catalyst for Growth:</w:t>
      </w:r>
    </w:p>
    <w:p>
      <w:pPr>
        <w:pStyle w:val="BodyText"/>
      </w:pPr>
      <w:r>
        <w:t xml:space="preserve">The concept of a banker extends far beyond transactional processing. In Iraq Baghdad, a banker serves as a vital link between capital and opportunity. By providing accessible credit facilities to entrepreneurs, the institution stimulates job creation and fosters innovation.</w:t>
      </w:r>
    </w:p>
    <w:p>
      <w:pPr>
        <w:numPr>
          <w:ilvl w:val="0"/>
          <w:numId w:val="1003"/>
        </w:numPr>
        <w:pStyle w:val="Compact"/>
      </w:pPr>
      <w:r>
        <w:rPr>
          <w:bCs/>
          <w:b/>
        </w:rPr>
        <w:t xml:space="preserve">SME Lending:</w:t>
      </w:r>
      <w:r>
        <w:t xml:space="preserve"> </w:t>
      </w:r>
      <w:r>
        <w:t xml:space="preserve">Banks must develop risk-assessment models tailored to small businesses that may lack extensive credit histories.</w:t>
      </w:r>
    </w:p>
    <w:p>
      <w:pPr>
        <w:numPr>
          <w:ilvl w:val="0"/>
          <w:numId w:val="1003"/>
        </w:numPr>
        <w:pStyle w:val="Compact"/>
      </w:pPr>
      <w:r>
        <w:rPr>
          <w:bCs/>
          <w:b/>
        </w:rPr>
        <w:t xml:space="preserve">Housing Finance:</w:t>
      </w:r>
      <w:r>
        <w:t xml:space="preserve"> </w:t>
      </w:r>
      <w:r>
        <w:t xml:space="preserve">With rapid urbanization in Baghdad, there is a massive demand for affordable housing solutions. Islamic finance products can play a significant role here.</w:t>
      </w:r>
    </w:p>
    <w:p>
      <w:pPr>
        <w:numPr>
          <w:ilvl w:val="0"/>
          <w:numId w:val="1003"/>
        </w:numPr>
        <w:pStyle w:val="Compact"/>
      </w:pPr>
      <w:r>
        <w:rPr>
          <w:bCs/>
          <w:b/>
        </w:rPr>
        <w:t xml:space="preserve">Agricultural Support:</w:t>
      </w:r>
      <w:r>
        <w:t xml:space="preserve"> </w:t>
      </w:r>
      <w:r>
        <w:t xml:space="preserve">Revitalizing agricultural sectors requires specialized loans and insurance products managed by knowledgeable banking professionals.</w:t>
      </w:r>
    </w:p>
    <w:bookmarkEnd w:id="22"/>
    <w:bookmarkStart w:id="23" w:name="X902870709332bb48dc23a9e2c7d7387accc3392"/>
    <w:p>
      <w:pPr>
        <w:pStyle w:val="Heading2"/>
      </w:pPr>
      <w:r>
        <w:t xml:space="preserve">Cultural Sensitivity and Local Engagement</w:t>
      </w:r>
    </w:p>
    <w:p>
      <w:pPr>
        <w:pStyle w:val="FirstParagraph"/>
      </w:pPr>
      <w:r>
        <w:rPr>
          <w:bCs/>
          <w:b/>
        </w:rPr>
        <w:t xml:space="preserve">Navigating Social Norms:</w:t>
      </w:r>
    </w:p>
    <w:p>
      <w:pPr>
        <w:pStyle w:val="BodyText"/>
      </w:pPr>
      <w:r>
        <w:t xml:space="preserve">A crucial aspect of operating a successful bank in Iraq Baghdad is respecting local customs and traditions. Trust is the foundation of banking relationships in the Middle East, and this trust is built through personal interaction and cultural understanding.</w:t>
      </w:r>
    </w:p>
    <w:p>
      <w:pPr>
        <w:numPr>
          <w:ilvl w:val="0"/>
          <w:numId w:val="1004"/>
        </w:numPr>
        <w:pStyle w:val="Compact"/>
      </w:pPr>
      <w:r>
        <w:rPr>
          <w:bCs/>
          <w:b/>
        </w:rPr>
        <w:t xml:space="preserve">Hospitality:</w:t>
      </w:r>
      <w:r>
        <w:t xml:space="preserve"> </w:t>
      </w:r>
      <w:r>
        <w:t xml:space="preserve">Banking interactions should reflect the high value placed on hospitality and personal relationships in Iraqi culture.</w:t>
      </w:r>
    </w:p>
    <w:p>
      <w:pPr>
        <w:numPr>
          <w:ilvl w:val="0"/>
          <w:numId w:val="1004"/>
        </w:numPr>
        <w:pStyle w:val="Compact"/>
      </w:pPr>
      <w:r>
        <w:rPr>
          <w:bCs/>
          <w:b/>
        </w:rPr>
        <w:t xml:space="preserve">Ramadan Operations:</w:t>
      </w:r>
      <w:r>
        <w:t xml:space="preserve"> </w:t>
      </w:r>
      <w:r>
        <w:t xml:space="preserve">Adjusting working hours and service offerings during the holy month of Ramadan demonstrates respect for local religious practices.</w:t>
      </w:r>
    </w:p>
    <w:p>
      <w:pPr>
        <w:numPr>
          <w:ilvl w:val="0"/>
          <w:numId w:val="1004"/>
        </w:numPr>
        <w:pStyle w:val="Compact"/>
      </w:pPr>
      <w:r>
        <w:rPr>
          <w:bCs/>
          <w:b/>
        </w:rPr>
        <w:t xml:space="preserve">Linguistic Competency:</w:t>
      </w:r>
      <w:r>
        <w:t xml:space="preserve"> </w:t>
      </w:r>
      <w:r>
        <w:t xml:space="preserve">Staff must be fluent in both Arabic and English to effectively communicate with a diverse clientele, including international investors.</w:t>
      </w:r>
    </w:p>
    <w:bookmarkEnd w:id="23"/>
    <w:bookmarkStart w:id="24" w:name="tech-integration-and-security-measures"/>
    <w:p>
      <w:pPr>
        <w:pStyle w:val="Heading2"/>
      </w:pPr>
      <w:r>
        <w:t xml:space="preserve">Tech Integration and Security Measures</w:t>
      </w:r>
    </w:p>
    <w:p>
      <w:pPr>
        <w:pStyle w:val="FirstParagraph"/>
      </w:pPr>
      <w:r>
        <w:rPr>
          <w:bCs/>
          <w:b/>
        </w:rPr>
        <w:t xml:space="preserve">Digital Transformation:</w:t>
      </w:r>
    </w:p>
    <w:p>
      <w:pPr>
        <w:pStyle w:val="BodyText"/>
      </w:pPr>
      <w:r>
        <w:t xml:space="preserve">To remain competitive, the banker must embrace technology. However, this comes with heightened responsibility regarding cybersecurity. In Iraq Baghdad, where digital infrastructure is still maturing, ensuring robust security protocols is essential to maintain customer confidence.</w:t>
      </w:r>
    </w:p>
    <w:p>
      <w:pPr>
        <w:numPr>
          <w:ilvl w:val="0"/>
          <w:numId w:val="1005"/>
        </w:numPr>
        <w:pStyle w:val="Compact"/>
      </w:pPr>
      <w:r>
        <w:rPr>
          <w:bCs/>
          <w:b/>
        </w:rPr>
        <w:t xml:space="preserve">Mobile Banking Apps:</w:t>
      </w:r>
      <w:r>
        <w:t xml:space="preserve"> </w:t>
      </w:r>
      <w:r>
        <w:t xml:space="preserve">Developing user-friendly applications that cater to varying levels of digital literacy.</w:t>
      </w:r>
    </w:p>
    <w:p>
      <w:pPr>
        <w:numPr>
          <w:ilvl w:val="0"/>
          <w:numId w:val="1005"/>
        </w:numPr>
        <w:pStyle w:val="Compact"/>
      </w:pPr>
      <w:r>
        <w:rPr>
          <w:bCs/>
          <w:b/>
        </w:rPr>
        <w:t xml:space="preserve">Data Privacy:</w:t>
      </w:r>
      <w:r>
        <w:t xml:space="preserve"> </w:t>
      </w:r>
      <w:r>
        <w:t xml:space="preserve">Implementing strict data protection measures in compliance with both local regulations and international standards like GDPR, especially when dealing with foreign partners.</w:t>
      </w:r>
    </w:p>
    <w:p>
      <w:pPr>
        <w:numPr>
          <w:ilvl w:val="0"/>
          <w:numId w:val="1005"/>
        </w:numPr>
        <w:pStyle w:val="Compact"/>
      </w:pPr>
      <w:r>
        <w:rPr>
          <w:bCs/>
          <w:b/>
        </w:rPr>
        <w:t xml:space="preserve">Bio-metric Verification:</w:t>
      </w:r>
      <w:r>
        <w:t xml:space="preserve"> </w:t>
      </w:r>
      <w:r>
        <w:t xml:space="preserve">Utilizing advanced authentication methods to prevent fraud and identity theft.</w:t>
      </w:r>
    </w:p>
    <w:bookmarkEnd w:id="24"/>
    <w:bookmarkStart w:id="25" w:name="Xc9cad13890124453f82711478a0b4dca9742a4b"/>
    <w:p>
      <w:pPr>
        <w:pStyle w:val="Heading2"/>
      </w:pPr>
      <w:r>
        <w:t xml:space="preserve">Risk Management in a Volatile Environment</w:t>
      </w:r>
    </w:p>
    <w:p>
      <w:pPr>
        <w:pStyle w:val="FirstParagraph"/>
      </w:pPr>
      <w:r>
        <w:rPr>
          <w:bCs/>
          <w:b/>
        </w:rPr>
        <w:t xml:space="preserve">Mitigating Financial Risks:</w:t>
      </w:r>
    </w:p>
    <w:p>
      <w:pPr>
        <w:pStyle w:val="BodyText"/>
      </w:pPr>
      <w:r>
        <w:t xml:space="preserve">A prudent banker must be adept at identifying and mitigating risks inherent in the Iraqi market. These risks range from currency fluctuation to political instability.</w:t>
      </w:r>
    </w:p>
    <w:p>
      <w:pPr>
        <w:numPr>
          <w:ilvl w:val="0"/>
          <w:numId w:val="1006"/>
        </w:numPr>
        <w:pStyle w:val="Compact"/>
      </w:pPr>
      <w:r>
        <w:rPr>
          <w:bCs/>
          <w:b/>
        </w:rPr>
        <w:t xml:space="preserve">Credit Risk Assessment:</w:t>
      </w:r>
      <w:r>
        <w:t xml:space="preserve"> </w:t>
      </w:r>
      <w:r>
        <w:t xml:space="preserve">Rigorous vetting processes to ensure loan applicants are viable long-term clients.</w:t>
      </w:r>
    </w:p>
    <w:p>
      <w:pPr>
        <w:numPr>
          <w:ilvl w:val="0"/>
          <w:numId w:val="1006"/>
        </w:numPr>
        <w:pStyle w:val="Compact"/>
      </w:pPr>
      <w:r>
        <w:rPr>
          <w:bCs/>
          <w:b/>
        </w:rPr>
        <w:t xml:space="preserve">Liquidity Management:</w:t>
      </w:r>
      <w:r>
        <w:t xml:space="preserve"> </w:t>
      </w:r>
      <w:r>
        <w:t xml:space="preserve">Ensuring sufficient cash reserves to meet daily withdrawal demands, particularly in times of economic uncertainty.</w:t>
      </w:r>
    </w:p>
    <w:p>
      <w:pPr>
        <w:numPr>
          <w:ilvl w:val="0"/>
          <w:numId w:val="1006"/>
        </w:numPr>
        <w:pStyle w:val="Compact"/>
      </w:pPr>
      <w:r>
        <w:rPr>
          <w:bCs/>
          <w:b/>
        </w:rPr>
        <w:t xml:space="preserve">Regulatory Compliance:</w:t>
      </w:r>
      <w:r>
        <w:t xml:space="preserve"> </w:t>
      </w:r>
      <w:r>
        <w:t xml:space="preserve">Strict adherence to anti-money laundering (AML) laws and know-your-customer (KYC) requirements established by the central bank of Iraq Baghdad.</w:t>
      </w:r>
    </w:p>
    <w:bookmarkEnd w:id="25"/>
    <w:bookmarkStart w:id="26" w:name="Xe80c9dbc4ceafae0648dfb3c1b9babf13c11a5f"/>
    <w:p>
      <w:pPr>
        <w:pStyle w:val="Heading2"/>
      </w:pPr>
      <w:r>
        <w:t xml:space="preserve">The Future Outlook for Banking in Iraq Baghdad</w:t>
      </w:r>
    </w:p>
    <w:p>
      <w:pPr>
        <w:pStyle w:val="FirstParagraph"/>
      </w:pPr>
      <w:r>
        <w:rPr>
          <w:bCs/>
          <w:b/>
        </w:rPr>
        <w:t xml:space="preserve">Predictions and Strategic Goals:</w:t>
      </w:r>
    </w:p>
    <w:p>
      <w:pPr>
        <w:pStyle w:val="BodyText"/>
      </w:pPr>
      <w:r>
        <w:t xml:space="preserve">The future looks promising for the banking sector in Iraq Baghdad. With ongoing infrastructure projects and a push toward privatization, there are ample opportunities for growth.</w:t>
      </w:r>
    </w:p>
    <w:p>
      <w:pPr>
        <w:numPr>
          <w:ilvl w:val="0"/>
          <w:numId w:val="1007"/>
        </w:numPr>
        <w:pStyle w:val="Compact"/>
      </w:pPr>
      <w:r>
        <w:rPr>
          <w:bCs/>
          <w:b/>
        </w:rPr>
        <w:t xml:space="preserve">Bancassurance Partnerships:</w:t>
      </w:r>
      <w:r>
        <w:t xml:space="preserve"> </w:t>
      </w:r>
      <w:r>
        <w:t xml:space="preserve">Collaborating with insurance firms to offer bundled services to customers.</w:t>
      </w:r>
    </w:p>
    <w:p>
      <w:pPr>
        <w:numPr>
          <w:ilvl w:val="0"/>
          <w:numId w:val="1007"/>
        </w:numPr>
        <w:pStyle w:val="Compact"/>
      </w:pPr>
      <w:r>
        <w:rPr>
          <w:bCs/>
          <w:b/>
        </w:rPr>
        <w:t xml:space="preserve">Green Banking:</w:t>
      </w:r>
      <w:r>
        <w:t xml:space="preserve"> </w:t>
      </w:r>
      <w:r>
        <w:t xml:space="preserve">Initiating sustainable finance projects that support renewable energy and environmental protection in Iraq.</w:t>
      </w:r>
    </w:p>
    <w:p>
      <w:pPr>
        <w:numPr>
          <w:ilvl w:val="0"/>
          <w:numId w:val="1007"/>
        </w:numPr>
        <w:pStyle w:val="Compact"/>
      </w:pPr>
      <w:r>
        <w:rPr>
          <w:bCs/>
          <w:b/>
        </w:rPr>
        <w:t xml:space="preserve">Youth Engagement:</w:t>
      </w:r>
      <w:r>
        <w:t xml:space="preserve"> </w:t>
      </w:r>
      <w:r>
        <w:t xml:space="preserve">Creating specialized accounts and educational programs for the younger generation to foster financial literacy early on.</w:t>
      </w:r>
    </w:p>
    <w:bookmarkEnd w:id="26"/>
    <w:bookmarkStart w:id="27" w:name="conclusion-the-path-forward"/>
    <w:p>
      <w:pPr>
        <w:pStyle w:val="Heading2"/>
      </w:pPr>
      <w:r>
        <w:t xml:space="preserve">Conclusion: The Path Forward</w:t>
      </w:r>
    </w:p>
    <w:p>
      <w:pPr>
        <w:pStyle w:val="FirstParagraph"/>
      </w:pPr>
      <w:r>
        <w:rPr>
          <w:bCs/>
          <w:b/>
        </w:rPr>
        <w:t xml:space="preserve">A Call to Action:</w:t>
      </w:r>
    </w:p>
    <w:p>
      <w:pPr>
        <w:numPr>
          <w:ilvl w:val="0"/>
          <w:numId w:val="1008"/>
        </w:numPr>
        <w:pStyle w:val="Compact"/>
      </w:pPr>
      <w:r>
        <w:t xml:space="preserve">The banker in Iraq Baghdad stands at the forefront of a significant economic transformation.</w:t>
      </w:r>
    </w:p>
    <w:p>
      <w:pPr>
        <w:pStyle w:val="FirstParagraph"/>
      </w:pPr>
      <w:r>
        <w:t xml:space="preserve">To succeed, financial institutions must combine modern banking practices with deep respect for local culture and history. By focusing on community development, embracing technology responsibly, and maintaining robust risk management protocols, a banker can play a pivotal role in stabilizing and growing the economy of Iraq Baghdad. The journey toward financial inclusion is not just about profits; it is about empowering individuals and building a resilient society.</w:t>
      </w:r>
    </w:p>
    <w:p>
      <w:pPr>
        <w:pStyle w:val="BodyText"/>
      </w:pPr>
      <w:r>
        <w:rPr>
          <w:bCs/>
          <w:b/>
        </w:rPr>
        <w:t xml:space="preserve">Thank You for Attending This Seminar Presentation Slides Overview on Banking in Iraq Baghdad!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Banker in Iraq Baghdad</dc:title>
  <dc:creator/>
  <dc:language>en</dc:language>
  <cp:keywords/>
  <dcterms:created xsi:type="dcterms:W3CDTF">2026-07-29T21:29:22Z</dcterms:created>
  <dcterms:modified xsi:type="dcterms:W3CDTF">2026-07-29T21:29:22Z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