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Italy</w:t>
      </w:r>
      <w:r>
        <w:t xml:space="preserve"> </w:t>
      </w:r>
      <w:r>
        <w:t xml:space="preserve">Rome</w:t>
      </w:r>
    </w:p>
    <w:bookmarkStart w:id="21" w:name="seminar-presentation-slides"/>
    <w:p>
      <w:pPr>
        <w:pStyle w:val="Heading1"/>
      </w:pPr>
      <w:r>
        <w:t xml:space="preserve">Seminar Presentation Slides</w:t>
      </w:r>
    </w:p>
    <w:bookmarkStart w:id="20" w:name="Xd9a963d302c249c3e0c3f039091e1419aeff78e"/>
    <w:p>
      <w:pPr>
        <w:pStyle w:val="Heading2"/>
      </w:pPr>
      <w:r>
        <w:t xml:space="preserve">Title: The Evolution of the Banker in Italy Rome</w:t>
      </w:r>
    </w:p>
    <w:p>
      <w:pPr>
        <w:pStyle w:val="FirstParagraph"/>
      </w:pPr>
      <w:r>
        <w:rPr>
          <w:bCs/>
          <w:b/>
        </w:rPr>
        <w:t xml:space="preserve">Presentation Overview:</w:t>
      </w:r>
    </w:p>
    <w:p>
      <w:pPr>
        <w:pStyle w:val="BodyText"/>
      </w:pPr>
      <w:r>
        <w:t xml:space="preserve">This seminar aims to explore the intricate role of the banker within the specific economic and cultural context of Italy, with a focused lens on its capital, Rome. As one of the oldest financial hubs in Europe, Rome represents a unique intersection of ancient tradition and modern European Union regulatory frameworks. This presentation will dissect how bankers operate in this environment, balancing historical legacy with digital innovation.</w:t>
      </w:r>
    </w:p>
    <w:bookmarkEnd w:id="20"/>
    <w:bookmarkEnd w:id="21"/>
    <w:bookmarkStart w:id="22" w:name="Xb3d56edafb6d86aa307a7e9a2c98fc3929070a0"/>
    <w:p>
      <w:pPr>
        <w:pStyle w:val="Heading2"/>
      </w:pPr>
      <w:r>
        <w:t xml:space="preserve">Slide 1: Historical Context – The Eternal City’s Financial Heritage</w:t>
      </w:r>
    </w:p>
    <w:p>
      <w:pPr>
        <w:pStyle w:val="FirstParagraph"/>
      </w:pPr>
      <w:r>
        <w:t xml:space="preserve">Rome is not merely a political capital; it is a financial one. The history of banking in Italy traces back to the Medici family and earlier Lombard bankers, establishing Rome as a cornerstone of European finance. For the modern banker in Italy Rome, understanding this deep-rooted heritage is crucial.</w:t>
      </w:r>
    </w:p>
    <w:p>
      <w:pPr>
        <w:numPr>
          <w:ilvl w:val="0"/>
          <w:numId w:val="1001"/>
        </w:numPr>
        <w:pStyle w:val="Compact"/>
      </w:pPr>
      <w:r>
        <w:rPr>
          <w:bCs/>
          <w:b/>
        </w:rPr>
        <w:t xml:space="preserve">Papal Influence:</w:t>
      </w:r>
      <w:r>
        <w:t xml:space="preserve"> </w:t>
      </w:r>
      <w:r>
        <w:t xml:space="preserve">Historically, the Vatican’s financial decisions influenced trade across Europe. Today, while secularized, the presence of religious and institutional funds remains significant.</w:t>
      </w:r>
    </w:p>
    <w:p>
      <w:pPr>
        <w:numPr>
          <w:ilvl w:val="0"/>
          <w:numId w:val="1001"/>
        </w:numPr>
        <w:pStyle w:val="Compact"/>
      </w:pPr>
      <w:r>
        <w:rPr>
          <w:bCs/>
          <w:b/>
        </w:rPr>
        <w:t xml:space="preserve">Renaissance Banking:</w:t>
      </w:r>
      <w:r>
        <w:t xml:space="preserve"> </w:t>
      </w:r>
      <w:r>
        <w:t xml:space="preserve">The concept of double-entry bookkeeping was refined in this region. Modern bankers in Rome often study these historical precedents to understand the evolution of trust-based financial systems.</w:t>
      </w:r>
    </w:p>
    <w:p>
      <w:pPr>
        <w:pStyle w:val="FirstParagraph"/>
      </w:pPr>
      <w:r>
        <w:t xml:space="preserve">The banker must respect the weight of history while navigating the swift currents of modern economics.</w:t>
      </w:r>
    </w:p>
    <w:bookmarkEnd w:id="22"/>
    <w:bookmarkStart w:id="23" w:name="X19de795b0d8178bfffc13559b0751fdd540fcfe"/>
    <w:p>
      <w:pPr>
        <w:pStyle w:val="Heading2"/>
      </w:pPr>
      <w:r>
        <w:t xml:space="preserve">Slide 2: The Regulatory Landscape in Italy</w:t>
      </w:r>
    </w:p>
    <w:p>
      <w:pPr>
        <w:pStyle w:val="FirstParagraph"/>
      </w:pPr>
      <w:r>
        <w:t xml:space="preserve">To serve as an effective banker in Italy Rome, one must first master the complex regulatory environment. The Italian banking sector is heavily influenced by directives from the European Central Bank (ECB) and local oversight by the Bank of Italy (</w:t>
      </w:r>
      <w:r>
        <w:rPr>
          <w:iCs/>
          <w:i/>
        </w:rPr>
        <w:t xml:space="preserve">Banca d’Italia</w:t>
      </w:r>
      <w:r>
        <w:t xml:space="preserve">).</w:t>
      </w:r>
    </w:p>
    <w:p>
      <w:pPr>
        <w:numPr>
          <w:ilvl w:val="0"/>
          <w:numId w:val="1002"/>
        </w:numPr>
        <w:pStyle w:val="Compact"/>
      </w:pPr>
      <w:r>
        <w:rPr>
          <w:bCs/>
          <w:b/>
        </w:rPr>
        <w:t xml:space="preserve">Basel III Compliance:</w:t>
      </w:r>
      <w:r>
        <w:t xml:space="preserve"> </w:t>
      </w:r>
      <w:r>
        <w:t xml:space="preserve">Banks in Rome must adhere to strict capital adequacy ratios, ensuring stability against economic shocks.</w:t>
      </w:r>
    </w:p>
    <w:p>
      <w:pPr>
        <w:numPr>
          <w:ilvl w:val="0"/>
          <w:numId w:val="1002"/>
        </w:numPr>
        <w:pStyle w:val="Compact"/>
      </w:pPr>
      <w:r>
        <w:rPr>
          <w:bCs/>
          <w:b/>
        </w:rPr>
        <w:t xml:space="preserve">Anti-Money Laundering (AML):</w:t>
      </w:r>
      <w:r>
        <w:t xml:space="preserve"> </w:t>
      </w:r>
      <w:r>
        <w:t xml:space="preserve">Given Italy’s status as a tourist hub and its historical challenges with organized crime, the banker plays a critical role in compliance. Strict KYC (Know Your Customer) protocols are enforced rigorously.</w:t>
      </w:r>
    </w:p>
    <w:p>
      <w:pPr>
        <w:numPr>
          <w:ilvl w:val="0"/>
          <w:numId w:val="1002"/>
        </w:numPr>
        <w:pStyle w:val="Compact"/>
      </w:pPr>
      <w:r>
        <w:rPr>
          <w:bCs/>
          <w:b/>
        </w:rPr>
        <w:t xml:space="preserve">Digital Transition:</w:t>
      </w:r>
      <w:r>
        <w:t xml:space="preserve"> </w:t>
      </w:r>
      <w:r>
        <w:t xml:space="preserve">Recent regulations encourage digital transformation, pushing bankers to adopt Fintech solutions while maintaining data security under GDPR standards.</w:t>
      </w:r>
    </w:p>
    <w:bookmarkEnd w:id="23"/>
    <w:bookmarkStart w:id="24" w:name="X47369789891663a52a76999372a330e009e08d9"/>
    <w:p>
      <w:pPr>
        <w:pStyle w:val="Heading2"/>
      </w:pPr>
      <w:r>
        <w:t xml:space="preserve">Slide 3: Key Players in Rome’s Financial Ecosystem</w:t>
      </w:r>
    </w:p>
    <w:p>
      <w:pPr>
        <w:pStyle w:val="FirstParagraph"/>
      </w:pPr>
      <w:r>
        <w:t xml:space="preserve">The landscape of banking in Italy Rome is dominated by both national giants and international players. Understanding the market structure is vital for any banker seeking to thrive.</w:t>
      </w:r>
    </w:p>
    <w:p>
      <w:pPr>
        <w:numPr>
          <w:ilvl w:val="0"/>
          <w:numId w:val="1003"/>
        </w:numPr>
        <w:pStyle w:val="Compact"/>
      </w:pPr>
      <w:r>
        <w:rPr>
          <w:bCs/>
          <w:b/>
        </w:rPr>
        <w:t xml:space="preserve">Banca d’Italia:</w:t>
      </w:r>
      <w:r>
        <w:t xml:space="preserve"> </w:t>
      </w:r>
      <w:r>
        <w:t xml:space="preserve">The central bank, headquartered in Rome, acts as the regulator and supervisor. Bankers often interact with this institution for liquidity management and regulatory reporting.</w:t>
      </w:r>
    </w:p>
    <w:p>
      <w:pPr>
        <w:numPr>
          <w:ilvl w:val="0"/>
          <w:numId w:val="1003"/>
        </w:numPr>
        <w:pStyle w:val="Compact"/>
      </w:pPr>
      <w:r>
        <w:rPr>
          <w:bCs/>
          <w:b/>
        </w:rPr>
        <w:t xml:space="preserve">Large Commercial Banks:</w:t>
      </w:r>
      <w:r>
        <w:t xml:space="preserve"> </w:t>
      </w:r>
      <w:r>
        <w:t xml:space="preserve">Institutions like Intesa Sanpaolo and UniCredit have their strategic headquarters or major operational hubs in Rome. These banks dominate retail and corporate banking.</w:t>
      </w:r>
    </w:p>
    <w:p>
      <w:pPr>
        <w:numPr>
          <w:ilvl w:val="0"/>
          <w:numId w:val="1003"/>
        </w:numPr>
        <w:pStyle w:val="Compact"/>
      </w:pPr>
      <w:r>
        <w:rPr>
          <w:bCs/>
          <w:b/>
        </w:rPr>
        <w:t xml:space="preserve">SME Banking:</w:t>
      </w:r>
      <w:r>
        <w:t xml:space="preserve"> </w:t>
      </w:r>
      <w:r>
        <w:t xml:space="preserve">A significant portion of Rome’s economy relies on Small and Medium Enterprises (SMEs). Bankers here specialize in providing tailored credit facilities to support local artisans, tech startups, and service providers.</w:t>
      </w:r>
    </w:p>
    <w:bookmarkEnd w:id="24"/>
    <w:bookmarkStart w:id="25" w:name="slide-4-the-role-of-relationship-banking"/>
    <w:p>
      <w:pPr>
        <w:pStyle w:val="Heading2"/>
      </w:pPr>
      <w:r>
        <w:t xml:space="preserve">Slide 4: The Role of Relationship Banking</w:t>
      </w:r>
    </w:p>
    <w:p>
      <w:pPr>
        <w:pStyle w:val="FirstParagraph"/>
      </w:pPr>
      <w:r>
        <w:t xml:space="preserve">In Italy Rome, banking is still deeply personal. Unlike the transactional nature of some Northern European or American markets, the Italian approach relies heavily on trust and long-term relationships.</w:t>
      </w:r>
    </w:p>
    <w:p>
      <w:pPr>
        <w:numPr>
          <w:ilvl w:val="0"/>
          <w:numId w:val="1004"/>
        </w:numPr>
        <w:pStyle w:val="Compact"/>
      </w:pPr>
      <w:r>
        <w:rPr>
          <w:bCs/>
          <w:b/>
        </w:rPr>
        <w:t xml:space="preserve">Face-to-Face Interactions:</w:t>
      </w:r>
      <w:r>
        <w:t xml:space="preserve"> </w:t>
      </w:r>
      <w:r>
        <w:t xml:space="preserve">Despite digital advancements, a banker in Rome is expected to meet clients in person. Building rapport is not just a soft skill; it is a business necessity.</w:t>
      </w:r>
    </w:p>
    <w:p>
      <w:pPr>
        <w:numPr>
          <w:ilvl w:val="0"/>
          <w:numId w:val="1004"/>
        </w:numPr>
        <w:pStyle w:val="Compact"/>
      </w:pPr>
      <w:r>
        <w:rPr>
          <w:bCs/>
          <w:b/>
        </w:rPr>
        <w:t xml:space="preserve">Cultural Nuance:</w:t>
      </w:r>
      <w:r>
        <w:t xml:space="preserve"> </w:t>
      </w:r>
      <w:r>
        <w:t xml:space="preserve">Understanding local customs, such as the importance of family-owned businesses and inheritance planning, is essential for wealth managers.</w:t>
      </w:r>
    </w:p>
    <w:p>
      <w:pPr>
        <w:numPr>
          <w:ilvl w:val="0"/>
          <w:numId w:val="1004"/>
        </w:numPr>
        <w:pStyle w:val="Compact"/>
      </w:pPr>
      <w:r>
        <w:rPr>
          <w:bCs/>
          <w:b/>
        </w:rPr>
        <w:t xml:space="preserve">Negotiation Style:</w:t>
      </w:r>
      <w:r>
        <w:t xml:space="preserve"> </w:t>
      </w:r>
      <w:r>
        <w:t xml:space="preserve">Bankers must be adept at negotiation that respects hierarchy and tradition while driving toward mutual benefit.</w:t>
      </w:r>
    </w:p>
    <w:bookmarkEnd w:id="25"/>
    <w:bookmarkStart w:id="26" w:name="X24eb120a2e7b9613df0e8f15ff815bfe190376f"/>
    <w:p>
      <w:pPr>
        <w:pStyle w:val="Heading2"/>
      </w:pPr>
      <w:r>
        <w:t xml:space="preserve">Slide 5: Challenges Facing the Modern Banker</w:t>
      </w:r>
    </w:p>
    <w:p>
      <w:pPr>
        <w:pStyle w:val="FirstParagraph"/>
      </w:pPr>
      <w:r>
        <w:t xml:space="preserve">The banker in Italy Rome faces a myriad of contemporary challenges that threaten traditional models.</w:t>
      </w:r>
    </w:p>
    <w:p>
      <w:pPr>
        <w:numPr>
          <w:ilvl w:val="0"/>
          <w:numId w:val="1005"/>
        </w:numPr>
        <w:pStyle w:val="Compact"/>
      </w:pPr>
      <w:r>
        <w:rPr>
          <w:bCs/>
          <w:b/>
        </w:rPr>
        <w:t xml:space="preserve">NPLs (Non-Performing Loans):</w:t>
      </w:r>
      <w:r>
        <w:t xml:space="preserve"> </w:t>
      </w:r>
      <w:r>
        <w:t xml:space="preserve">Although improving, the legacy of bad debt from previous economic crises continues to impact balance sheets. Bankers must be skilled in restructuring and recovery.</w:t>
      </w:r>
    </w:p>
    <w:p>
      <w:pPr>
        <w:numPr>
          <w:ilvl w:val="0"/>
          <w:numId w:val="1005"/>
        </w:numPr>
        <w:pStyle w:val="Compact"/>
      </w:pPr>
      <w:r>
        <w:rPr>
          <w:bCs/>
          <w:b/>
        </w:rPr>
        <w:t xml:space="preserve">Digital Disruption:</w:t>
      </w:r>
      <w:r>
        <w:t xml:space="preserve"> </w:t>
      </w:r>
      <w:r>
        <w:t xml:space="preserve">Fintech startups are challenging traditional banks by offering faster, cheaper services. The banker must pivot from being a mere gatekeeper of capital to a consultant on financial technology integration.</w:t>
      </w:r>
    </w:p>
    <w:p>
      <w:pPr>
        <w:numPr>
          <w:ilvl w:val="0"/>
          <w:numId w:val="1005"/>
        </w:numPr>
        <w:pStyle w:val="Compact"/>
      </w:pPr>
      <w:r>
        <w:rPr>
          <w:bCs/>
          <w:b/>
        </w:rPr>
        <w:t xml:space="preserve">Economic Stagnation:</w:t>
      </w:r>
      <w:r>
        <w:t xml:space="preserve"> </w:t>
      </w:r>
      <w:r>
        <w:t xml:space="preserve">Italy has faced years of low growth. Bankers must find innovative ways to stimulate investment in Rome’s booming sectors like tourism, renewable energy, and heritage restoration.</w:t>
      </w:r>
    </w:p>
    <w:bookmarkEnd w:id="26"/>
    <w:bookmarkStart w:id="27" w:name="X8f813be111b3de966b22c91a1046c0ccb1866f9"/>
    <w:p>
      <w:pPr>
        <w:pStyle w:val="Heading2"/>
      </w:pPr>
      <w:r>
        <w:t xml:space="preserve">Slide 6: Opportunities in Sustainable Finance</w:t>
      </w:r>
    </w:p>
    <w:p>
      <w:pPr>
        <w:pStyle w:val="FirstParagraph"/>
      </w:pPr>
      <w:r>
        <w:t xml:space="preserve">A major opportunity for the banker in Italy Rome lies in the transition to green finance. With Italy being a founding member of various EU green initiatives, there is immense potential.</w:t>
      </w:r>
    </w:p>
    <w:p>
      <w:pPr>
        <w:numPr>
          <w:ilvl w:val="0"/>
          <w:numId w:val="1006"/>
        </w:numPr>
        <w:pStyle w:val="Compact"/>
      </w:pPr>
      <w:r>
        <w:rPr>
          <w:bCs/>
          <w:b/>
        </w:rPr>
        <w:t xml:space="preserve">Sustainable Bonds:</w:t>
      </w:r>
      <w:r>
        <w:t xml:space="preserve"> </w:t>
      </w:r>
      <w:r>
        <w:t xml:space="preserve">Issuing and managing green bonds for infrastructure projects in Rome, such as modernizing public transport or improving energy efficiency in historic buildings.</w:t>
      </w:r>
    </w:p>
    <w:p>
      <w:pPr>
        <w:numPr>
          <w:ilvl w:val="0"/>
          <w:numId w:val="1006"/>
        </w:numPr>
        <w:pStyle w:val="Compact"/>
      </w:pPr>
      <w:r>
        <w:rPr>
          <w:bCs/>
          <w:b/>
        </w:rPr>
        <w:t xml:space="preserve">Tourism Finance:</w:t>
      </w:r>
      <w:r>
        <w:t xml:space="preserve"> </w:t>
      </w:r>
      <w:r>
        <w:t xml:space="preserve">Supporting sustainable tourism practices by providing loans to hotels and tour operators who adopt eco-friendly standards.</w:t>
      </w:r>
    </w:p>
    <w:p>
      <w:pPr>
        <w:numPr>
          <w:ilvl w:val="0"/>
          <w:numId w:val="1006"/>
        </w:numPr>
        <w:pStyle w:val="Compact"/>
      </w:pPr>
      <w:r>
        <w:rPr>
          <w:bCs/>
          <w:b/>
        </w:rPr>
        <w:t xml:space="preserve">European Recovery Funds:</w:t>
      </w:r>
      <w:r>
        <w:t xml:space="preserve"> </w:t>
      </w:r>
      <w:r>
        <w:t xml:space="preserve">Rome is a key hub for distributing NextGenerationEU funds. Bankers play a pivotal role in advising local governments and businesses on how to access and utilize these grants effectively.</w:t>
      </w:r>
    </w:p>
    <w:bookmarkEnd w:id="27"/>
    <w:bookmarkStart w:id="28" w:name="slide-7-the-impact-of-vatican-finance"/>
    <w:p>
      <w:pPr>
        <w:pStyle w:val="Heading2"/>
      </w:pPr>
      <w:r>
        <w:t xml:space="preserve">Slide 7: The Impact of Vatican Finance</w:t>
      </w:r>
    </w:p>
    <w:p>
      <w:pPr>
        <w:pStyle w:val="FirstParagraph"/>
      </w:pPr>
      <w:r>
        <w:t xml:space="preserve">No discussion about banking in Italy Rome is complete without addressing the Holy See. The Institute for the Works of Religion (IOR), commonly known as the Vatican Bank, operates independently but intersects with Italian and international banking laws.</w:t>
      </w:r>
    </w:p>
    <w:p>
      <w:pPr>
        <w:numPr>
          <w:ilvl w:val="0"/>
          <w:numId w:val="1007"/>
        </w:numPr>
        <w:pStyle w:val="Compact"/>
      </w:pPr>
      <w:r>
        <w:rPr>
          <w:bCs/>
          <w:b/>
        </w:rPr>
        <w:t xml:space="preserve">Cross-Border Transactions:</w:t>
      </w:r>
      <w:r>
        <w:t xml:space="preserve"> </w:t>
      </w:r>
      <w:r>
        <w:t xml:space="preserve">Many international donors and institutions channel funds through Rome. Bankers must be expertly trained in cross-border compliance.</w:t>
      </w:r>
    </w:p>
    <w:p>
      <w:pPr>
        <w:numPr>
          <w:ilvl w:val="0"/>
          <w:numId w:val="1007"/>
        </w:numPr>
        <w:pStyle w:val="Compact"/>
      </w:pPr>
      <w:r>
        <w:rPr>
          <w:bCs/>
          <w:b/>
        </w:rPr>
        <w:t xml:space="preserve">Ethical Banking:</w:t>
      </w:r>
      <w:r>
        <w:t xml:space="preserve">The Vatican’s emphasis on social justice influences ethical investment criteria. Bankers catering to this sector must prioritize investments that promote social welfare and poverty alleviation.</w:t>
      </w:r>
    </w:p>
    <w:bookmarkEnd w:id="28"/>
    <w:bookmarkStart w:id="29" w:name="X42cc2af4d6ab30b500dba584be4016a039af5b7"/>
    <w:p>
      <w:pPr>
        <w:pStyle w:val="Heading2"/>
      </w:pPr>
      <w:r>
        <w:t xml:space="preserve">Slide 8: Future Outlook – The Tech-Savvy Banker</w:t>
      </w:r>
    </w:p>
    <w:p>
      <w:pPr>
        <w:pStyle w:val="FirstParagraph"/>
      </w:pPr>
      <w:r>
        <w:t xml:space="preserve">The future of the banker in Italy Rome is digital, but human-centric. The successful banker will be a hybrid professional.</w:t>
      </w:r>
    </w:p>
    <w:p>
      <w:pPr>
        <w:numPr>
          <w:ilvl w:val="0"/>
          <w:numId w:val="1008"/>
        </w:numPr>
        <w:pStyle w:val="Compact"/>
      </w:pPr>
      <w:r>
        <w:rPr>
          <w:bCs/>
          <w:b/>
        </w:rPr>
        <w:t xml:space="preserve">Data Analytics:</w:t>
      </w:r>
      <w:r>
        <w:t xml:space="preserve"> </w:t>
      </w:r>
      <w:r>
        <w:t xml:space="preserve">Using big data to assess credit risk more accurately for small businesses.</w:t>
      </w:r>
    </w:p>
    <w:p>
      <w:pPr>
        <w:numPr>
          <w:ilvl w:val="0"/>
          <w:numId w:val="1008"/>
        </w:numPr>
        <w:pStyle w:val="Compact"/>
      </w:pPr>
      <w:r>
        <w:rPr>
          <w:bCs/>
          <w:b/>
        </w:rPr>
        <w:t xml:space="preserve">Cybersecurity:</w:t>
      </w:r>
      <w:r>
        <w:t xml:space="preserve"> </w:t>
      </w:r>
      <w:r>
        <w:t xml:space="preserve">Protecting client assets from increasingly sophisticated cyber threats is paramount.</w:t>
      </w:r>
    </w:p>
    <w:bookmarkEnd w:id="29"/>
    <w:bookmarkStart w:id="30" w:name="Xdd6c2b240584c52ac5f48d553003065129d63f6"/>
    <w:p>
      <w:pPr>
        <w:pStyle w:val="Heading2"/>
      </w:pPr>
      <w:r>
        <w:t xml:space="preserve">Slide 9: Conclusion and Strategic Recommendations</w:t>
      </w:r>
    </w:p>
    <w:p>
      <w:pPr>
        <w:pStyle w:val="FirstParagraph"/>
      </w:pPr>
      <w:r>
        <w:t xml:space="preserve">In conclusion, the role of the banker in Italy Rome is evolving from a traditional custodian of wealth to a dynamic advisor navigating complex regulatory, technological, and cultural landscapes.</w:t>
      </w:r>
    </w:p>
    <w:p>
      <w:pPr>
        <w:numPr>
          <w:ilvl w:val="0"/>
          <w:numId w:val="1009"/>
        </w:numPr>
        <w:pStyle w:val="Compact"/>
      </w:pPr>
      <w:r>
        <w:rPr>
          <w:bCs/>
          <w:b/>
        </w:rPr>
        <w:t xml:space="preserve">Prioritize Compliance:</w:t>
      </w:r>
      <w:r>
        <w:t xml:space="preserve"> </w:t>
      </w:r>
      <w:r>
        <w:t xml:space="preserve">Never underestimate the importance of adhering to EU and Italian regulations.</w:t>
      </w:r>
    </w:p>
    <w:p>
      <w:pPr>
        <w:numPr>
          <w:ilvl w:val="0"/>
          <w:numId w:val="1009"/>
        </w:numPr>
        <w:pStyle w:val="Compact"/>
      </w:pPr>
      <w:r>
        <w:rPr>
          <w:bCs/>
          <w:b/>
        </w:rPr>
        <w:t xml:space="preserve">Leverage Technology:</w:t>
      </w:r>
      <w:r>
        <w:t xml:space="preserve"> </w:t>
      </w:r>
      <w:r>
        <w:t xml:space="preserve">Adopt Fintech tools to enhance efficiency but retain personal service for high-net-worth clients.</w:t>
      </w:r>
    </w:p>
    <w:p>
      <w:pPr>
        <w:numPr>
          <w:ilvl w:val="0"/>
          <w:numId w:val="1009"/>
        </w:numPr>
        <w:pStyle w:val="Compact"/>
      </w:pPr>
      <w:r>
        <w:rPr>
          <w:iCs/>
          <w:i/>
        </w:rPr>
        <w:t xml:space="preserve">Sustainability First:</w:t>
      </w:r>
      <w:r>
        <w:t xml:space="preserve">: Integrate ESG (Environmental, Social, and Governance) criteria into all banking products.</w:t>
      </w:r>
    </w:p>
    <w:p>
      <w:pPr>
        <w:numPr>
          <w:ilvl w:val="0"/>
          <w:numId w:val="1009"/>
        </w:numPr>
        <w:pStyle w:val="Compact"/>
      </w:pPr>
      <w:r>
        <w:rPr>
          <w:bCs/>
          <w:b/>
        </w:rPr>
        <w:t xml:space="preserve">Cultural Intelligence:</w:t>
      </w:r>
      <w:r>
        <w:t xml:space="preserve"> </w:t>
      </w:r>
      <w:r>
        <w:t xml:space="preserve">Continue to invest in building strong personal relationships that define Italian business culture.</w:t>
      </w:r>
    </w:p>
    <w:bookmarkEnd w:id="30"/>
    <w:bookmarkStart w:id="31" w:name="slide-10-qa-and-discussion"/>
    <w:p>
      <w:pPr>
        <w:pStyle w:val="Heading2"/>
      </w:pPr>
      <w:r>
        <w:t xml:space="preserve">Slide 10: Q&amp;A and Discussion</w:t>
      </w:r>
    </w:p>
    <w:p>
      <w:pPr>
        <w:pStyle w:val="FirstParagraph"/>
      </w:pPr>
      <w:r>
        <w:t xml:space="preserve">We now open the floor for questions regarding the specific challenges faced by bankers in Rome, regulatory updates, or career paths in Italian finance.</w:t>
      </w:r>
    </w:p>
    <w:p>
      <w:pPr>
        <w:pStyle w:val="BodyText"/>
      </w:pPr>
      <w:r>
        <w:rPr>
          <w:iCs/>
          <w:i/>
        </w:rPr>
        <w:t xml:space="preserve">Thank you for your attention. Let us discuss how we can shape the future of banking in Italy Rome together.</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Banker in Italy Rome</dc:title>
  <dc:creator/>
  <dc:language>en</dc:language>
  <cp:keywords/>
  <dcterms:created xsi:type="dcterms:W3CDTF">2026-07-29T20:29:06Z</dcterms:created>
  <dcterms:modified xsi:type="dcterms:W3CDTF">2026-07-29T20:29:06Z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