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Kuwait</w:t>
      </w:r>
      <w:r>
        <w:t xml:space="preserve"> </w:t>
      </w:r>
      <w:r>
        <w:t xml:space="preserve">City</w:t>
      </w:r>
    </w:p>
    <w:bookmarkStart w:id="20" w:name="Xfced6c9a3fb1fb4d2cb0b3bd1e7cfde48895840"/>
    <w:p>
      <w:pPr>
        <w:pStyle w:val="Heading1"/>
      </w:pPr>
      <w:r>
        <w:t xml:space="preserve">Seminar Presentation Slides: The Modern Banker in the Heart of Kuwait City</w:t>
      </w:r>
    </w:p>
    <w:p>
      <w:pPr>
        <w:pStyle w:val="FirstParagraph"/>
      </w:pPr>
      <w:r>
        <w:rPr>
          <w:bCs/>
          <w:b/>
        </w:rPr>
        <w:t xml:space="preserve">Presentation Title:</w:t>
      </w:r>
      <w:r>
        <w:t xml:space="preserve"> </w:t>
      </w:r>
      <w:r>
        <w:t xml:space="preserve">Navigating Finance, Tradition, and Innovation: A Comprehensive Guide for the Modern Banker in Kuwait City.</w:t>
      </w:r>
    </w:p>
    <w:p>
      <w:pPr>
        <w:pStyle w:val="BodyText"/>
      </w:pPr>
      <w:r>
        <w:rPr>
          <w:bCs/>
          <w:b/>
        </w:rPr>
        <w:t xml:space="preserve">Audience:</w:t>
      </w:r>
      <w:r>
        <w:t xml:space="preserve"> </w:t>
      </w:r>
      <w:r>
        <w:t xml:space="preserve">Banking Professionals, Financial Analysts, Students of Economics, and Policy Makers.</w:t>
      </w:r>
    </w:p>
    <w:p>
      <w:pPr>
        <w:pStyle w:val="BodyText"/>
      </w:pPr>
      <w:r>
        <w:rPr>
          <w:bCs/>
          <w:b/>
        </w:rPr>
        <w:t xml:space="preserve">Date:</w:t>
      </w:r>
      <w:r>
        <w:t xml:space="preserve"> </w:t>
      </w:r>
      <w:r>
        <w:t xml:space="preserve">October 2023</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The primary objective of this session is to dissect the multifaceted role of a banker in one of the most dynamic financial hubs in the Middle East: Kuwait City. As we navigate through these slides, we will explore how traditional banking values intersect with rapid technological advancements and specific regulatory environments.</w:t>
      </w:r>
    </w:p>
    <w:p>
      <w:pPr>
        <w:pStyle w:val="BodyText"/>
      </w:pPr>
      <w:r>
        <w:t xml:space="preserve">The term "Banker" has evolved significantly over the last decade. It is no longer sufficient to view a banker merely as a custodian of deposits or an approver of loans. In Kuwait City, a city known for its rapid urbanization and high concentration of wealth, the modern banker serves as a financial architect, guiding individuals and corporations through complex economic landscapes. This presentation aims to provide a holistic view of these responsibilities.</w:t>
      </w:r>
    </w:p>
    <w:bookmarkEnd w:id="21"/>
    <w:bookmarkStart w:id="23" w:name="Xb3fa284052213ba5603ef383097a33e17bfb3a8"/>
    <w:p>
      <w:pPr>
        <w:pStyle w:val="Heading2"/>
      </w:pPr>
      <w:r>
        <w:t xml:space="preserve">Slide 2: The Economic Context of Kuwait City</w:t>
      </w:r>
    </w:p>
    <w:p>
      <w:pPr>
        <w:pStyle w:val="FirstParagraph"/>
      </w:pPr>
      <w:r>
        <w:t xml:space="preserve">To understand the role of the banker, one must first understand the environment in which they operate. Kuwait City stands as a testament to economic resilience and strategic planning. Located on the shores of the Persian Gulf, this metropolis serves as the commercial heart of Kuwait.</w:t>
      </w:r>
    </w:p>
    <w:bookmarkStart w:id="22" w:name="key-economic-drivers"/>
    <w:p>
      <w:pPr>
        <w:pStyle w:val="Heading3"/>
      </w:pPr>
      <w:r>
        <w:t xml:space="preserve">Key Economic Drivers:</w:t>
      </w:r>
    </w:p>
    <w:p>
      <w:pPr>
        <w:numPr>
          <w:ilvl w:val="0"/>
          <w:numId w:val="1001"/>
        </w:numPr>
        <w:pStyle w:val="Compact"/>
      </w:pPr>
      <w:r>
        <w:rPr>
          <w:bCs/>
          <w:b/>
        </w:rPr>
        <w:t xml:space="preserve">Oil and Gas Sector:</w:t>
      </w:r>
      <w:r>
        <w:t xml:space="preserve"> </w:t>
      </w:r>
      <w:r>
        <w:t xml:space="preserve">Despite diversification efforts, oil remains a cornerstone. Bankers must possess specialized knowledge to advise energy sector clients on hedging, investment, and capital expenditure.</w:t>
      </w:r>
    </w:p>
    <w:p>
      <w:pPr>
        <w:numPr>
          <w:ilvl w:val="0"/>
          <w:numId w:val="1001"/>
        </w:numPr>
        <w:pStyle w:val="Compact"/>
      </w:pPr>
      <w:r>
        <w:rPr>
          <w:bCs/>
          <w:b/>
        </w:rPr>
        <w:t xml:space="preserve">Diversification Strategies:</w:t>
      </w:r>
      <w:r>
        <w:t xml:space="preserve"> </w:t>
      </w:r>
      <w:r>
        <w:t xml:space="preserve">Kuwait City is seeing a surge in non-oil sectors including real estate, tourism, and digital services. Bankers are pivotal in funding these emerging industries.</w:t>
      </w:r>
    </w:p>
    <w:p>
      <w:pPr>
        <w:numPr>
          <w:ilvl w:val="0"/>
          <w:numId w:val="1001"/>
        </w:numPr>
        <w:pStyle w:val="Compact"/>
      </w:pPr>
      <w:r>
        <w:rPr>
          <w:bCs/>
          <w:b/>
        </w:rPr>
        <w:t xml:space="preserve">Sovereign Wealth Funds:</w:t>
      </w:r>
      <w:r>
        <w:t xml:space="preserve"> </w:t>
      </w:r>
      <w:r>
        <w:t xml:space="preserve">The presence of the Kuwait Investment Authority (KIA) necessitates a high level of sophistication from local bankers who often interact with or compete against such powerful entities.</w:t>
      </w:r>
    </w:p>
    <w:bookmarkEnd w:id="22"/>
    <w:bookmarkEnd w:id="23"/>
    <w:bookmarkStart w:id="24" w:name="Xa55e2ea0b1cfef037522d17bffab3054225e8e4"/>
    <w:p>
      <w:pPr>
        <w:pStyle w:val="Heading2"/>
      </w:pPr>
      <w:r>
        <w:t xml:space="preserve">Slide 3: Regulatory Compliance and the Central Bank</w:t>
      </w:r>
    </w:p>
    <w:p>
      <w:pPr>
        <w:pStyle w:val="FirstParagraph"/>
      </w:pPr>
      <w:r>
        <w:t xml:space="preserve">A critical aspect of being a banker in Kuwait City is adherence to strict regulatory frameworks overseen by the Central Bank of Kuwait (CBK). For our seminar presentation slides, this section highlights compliance as a core competency.</w:t>
      </w:r>
    </w:p>
    <w:p>
      <w:pPr>
        <w:pStyle w:val="BodyText"/>
      </w:pPr>
      <w:r>
        <w:t xml:space="preserve">The CBK has implemented rigorous guidelines regarding capital adequacy, liquidity ratios, and risk management. A banker must be well-versed in these regulations to ensure institutional stability. Furthermore, the push for "Vision 2035" (New Kuwait) requires bankers to align their lending practices with national development goals.</w:t>
      </w:r>
    </w:p>
    <w:p>
      <w:pPr>
        <w:pStyle w:val="BodyText"/>
      </w:pPr>
      <w:r>
        <w:rPr>
          <w:bCs/>
          <w:b/>
        </w:rPr>
        <w:t xml:space="preserve">Key Regulatory Focus Areas:</w:t>
      </w:r>
    </w:p>
    <w:p>
      <w:pPr>
        <w:numPr>
          <w:ilvl w:val="0"/>
          <w:numId w:val="1002"/>
        </w:numPr>
        <w:pStyle w:val="Compact"/>
      </w:pPr>
      <w:r>
        <w:rPr>
          <w:bCs/>
          <w:b/>
        </w:rPr>
        <w:t xml:space="preserve">Anti-Money Laundering (AML):</w:t>
      </w:r>
      <w:r>
        <w:t xml:space="preserve"> </w:t>
      </w:r>
      <w:r>
        <w:t xml:space="preserve">Strict due diligence processes are mandatory. Bankers in Kuwait City must be vigilant against financial crimes to maintain the integrity of the global financial system.</w:t>
      </w:r>
    </w:p>
    <w:p>
      <w:pPr>
        <w:numPr>
          <w:ilvl w:val="0"/>
          <w:numId w:val="1002"/>
        </w:numPr>
        <w:pStyle w:val="Compact"/>
      </w:pPr>
      <w:r>
        <w:rPr>
          <w:bCs/>
          <w:b/>
        </w:rPr>
        <w:t xml:space="preserve">Islamic Finance Compliance:</w:t>
      </w:r>
      <w:r>
        <w:t xml:space="preserve"> </w:t>
      </w:r>
      <w:r>
        <w:t xml:space="preserve">Given the cultural and religious context, a significant portion of banking in Kuwait City operates under Sharia principles. Bankers must understand the distinction between conventional and Islamic banking products to serve a diverse clientele effectively.</w:t>
      </w:r>
    </w:p>
    <w:bookmarkEnd w:id="24"/>
    <w:bookmarkStart w:id="25" w:name="slide-4-the-banker-as-a-trusted-advisor"/>
    <w:p>
      <w:pPr>
        <w:pStyle w:val="Heading2"/>
      </w:pPr>
      <w:r>
        <w:t xml:space="preserve">Slide 4: The Banker as a Trusted Advisor</w:t>
      </w:r>
    </w:p>
    <w:p>
      <w:pPr>
        <w:pStyle w:val="FirstParagraph"/>
      </w:pPr>
      <w:r>
        <w:t xml:space="preserve">In Kuwait City, business is often relationship-driven. The modern banker must transition from a transactional role to that of a trusted advisor. This shift is particularly pronounced in private banking and wealth management sectors, which are prominent in Kuwait City.</w:t>
      </w:r>
    </w:p>
    <w:p>
      <w:pPr>
        <w:pStyle w:val="BodyText"/>
      </w:pPr>
      <w:r>
        <w:rPr>
          <w:bCs/>
          <w:b/>
        </w:rPr>
        <w:t xml:space="preserve">Building Trust:</w:t>
      </w:r>
    </w:p>
    <w:p>
      <w:pPr>
        <w:numPr>
          <w:ilvl w:val="0"/>
          <w:numId w:val="1003"/>
        </w:numPr>
        <w:pStyle w:val="Compact"/>
      </w:pPr>
      <w:r>
        <w:rPr>
          <w:bCs/>
          <w:b/>
        </w:rPr>
        <w:t xml:space="preserve">Cultural Sensitivity:</w:t>
      </w:r>
      <w:r>
        <w:t xml:space="preserve"> </w:t>
      </w:r>
      <w:r>
        <w:t xml:space="preserve">Bankers must respect local customs, business hours (including Friday-Saturday weekends), and communication styles. Understanding the nuances of Arab hospitality and negotiation is vital.</w:t>
      </w:r>
    </w:p>
    <w:p>
      <w:pPr>
        <w:numPr>
          <w:ilvl w:val="0"/>
          <w:numId w:val="1003"/>
        </w:numPr>
        <w:pStyle w:val="Compact"/>
      </w:pPr>
      <w:r>
        <w:rPr>
          <w:bCs/>
          <w:b/>
        </w:rPr>
        <w:t xml:space="preserve">Tailored Solutions:</w:t>
      </w:r>
      <w:r>
        <w:t xml:space="preserve"> </w:t>
      </w:r>
      <w:r>
        <w:t xml:space="preserve">High-net-worth individuals in Kuwait City often have complex portfolios spanning real estate, equities, and international assets. A banker must offer integrated financial planning services rather than generic products.</w:t>
      </w:r>
    </w:p>
    <w:p>
      <w:pPr>
        <w:pStyle w:val="FirstParagraph"/>
      </w:pPr>
      <w:r>
        <w:t xml:space="preserve">This personalized approach ensures client retention and fosters long-term partnerships, which are essential for the stability of banks operating in Kuwait City.</w:t>
      </w:r>
    </w:p>
    <w:bookmarkEnd w:id="25"/>
    <w:bookmarkStart w:id="27" w:name="X1c436659ece410653c9e8b11513bc95a0150b75"/>
    <w:p>
      <w:pPr>
        <w:pStyle w:val="Heading2"/>
      </w:pPr>
      <w:r>
        <w:t xml:space="preserve">Slide 5: Embracing Fintech and Digital Innovation</w:t>
      </w:r>
    </w:p>
    <w:p>
      <w:pPr>
        <w:pStyle w:val="FirstParagraph"/>
      </w:pPr>
      <w:r>
        <w:t xml:space="preserve">No seminar presentation slides on modern banking is complete without addressing digital transformation. Kuwait City has a highly tech-savvy population with one of the highest smartphone penetration rates in the world. This demographic reality forces bankers to innovate rapidly.</w:t>
      </w:r>
    </w:p>
    <w:bookmarkStart w:id="26" w:name="the-role-of-technology-for-the-banker"/>
    <w:p>
      <w:pPr>
        <w:pStyle w:val="Heading3"/>
      </w:pPr>
      <w:r>
        <w:t xml:space="preserve">The Role of Technology for the Banker:</w:t>
      </w:r>
    </w:p>
    <w:p>
      <w:pPr>
        <w:numPr>
          <w:ilvl w:val="0"/>
          <w:numId w:val="1004"/>
        </w:numPr>
        <w:pStyle w:val="Compact"/>
      </w:pPr>
      <w:r>
        <w:rPr>
          <w:bCs/>
          <w:b/>
        </w:rPr>
        <w:t xml:space="preserve">Digital Banking Platforms:</w:t>
      </w:r>
      <w:r>
        <w:t xml:space="preserve"> </w:t>
      </w:r>
      <w:r>
        <w:t xml:space="preserve">Bankers must advocate for and master user-friendly mobile apps that allow customers to manage finances seamlessly. This reduces branch traffic and operational costs.</w:t>
      </w:r>
    </w:p>
    <w:p>
      <w:pPr>
        <w:numPr>
          <w:ilvl w:val="0"/>
          <w:numId w:val="1004"/>
        </w:numPr>
        <w:pStyle w:val="Compact"/>
      </w:pPr>
      <w:r>
        <w:rPr>
          <w:bCs/>
          <w:b/>
        </w:rPr>
        <w:t xml:space="preserve">Data Analytics:</w:t>
      </w:r>
      <w:r>
        <w:t xml:space="preserve"> </w:t>
      </w:r>
      <w:r>
        <w:t xml:space="preserve">Modern bankers use big data to predict customer behavior, assess credit risk more accurately, and personalize marketing efforts. In Kuwait City, where competition is fierce, data-driven decisions provide a competitive edge.</w:t>
      </w:r>
    </w:p>
    <w:p>
      <w:pPr>
        <w:numPr>
          <w:ilvl w:val="0"/>
          <w:numId w:val="1004"/>
        </w:numPr>
        <w:pStyle w:val="Compact"/>
      </w:pPr>
      <w:r>
        <w:rPr>
          <w:bCs/>
          <w:b/>
        </w:rPr>
        <w:t xml:space="preserve">Cybersecurity Awareness:</w:t>
      </w:r>
      <w:r>
        <w:t xml:space="preserve"> </w:t>
      </w:r>
      <w:r>
        <w:t xml:space="preserve">As digital adoption grows in Kuwait City, so does the threat of cybercrime. Bankers must be trained to recognize phishing attempts and advise clients on secure financial practices.</w:t>
      </w:r>
    </w:p>
    <w:bookmarkEnd w:id="26"/>
    <w:bookmarkEnd w:id="27"/>
    <w:bookmarkStart w:id="28" w:name="X197e7c4acbe6c5119670bfa43a330b280d71686"/>
    <w:p>
      <w:pPr>
        <w:pStyle w:val="Heading2"/>
      </w:pPr>
      <w:r>
        <w:t xml:space="preserve">Slide 6: Specialized Knowledge in Islamic Banking</w:t>
      </w:r>
    </w:p>
    <w:p>
      <w:pPr>
        <w:pStyle w:val="FirstParagraph"/>
      </w:pPr>
      <w:r>
        <w:t xml:space="preserve">Kuwait City is a global leader in Islamic Finance. Therefore, any comprehensive guide for the banker must include detailed knowledge of Sharia-compliant products. This is not just a niche market; it represents the majority of banking activity in Kuwait City.</w:t>
      </w:r>
    </w:p>
    <w:p>
      <w:pPr>
        <w:pStyle w:val="BodyText"/>
      </w:pPr>
      <w:r>
        <w:rPr>
          <w:bCs/>
          <w:b/>
        </w:rPr>
        <w:t xml:space="preserve">Key Products:</w:t>
      </w:r>
    </w:p>
    <w:p>
      <w:pPr>
        <w:numPr>
          <w:ilvl w:val="0"/>
          <w:numId w:val="1005"/>
        </w:numPr>
        <w:pStyle w:val="Compact"/>
      </w:pPr>
      <w:r>
        <w:rPr>
          <w:bCs/>
          <w:b/>
        </w:rPr>
        <w:t xml:space="preserve">Murabaha:</w:t>
      </w:r>
      <w:r>
        <w:t xml:space="preserve"> </w:t>
      </w:r>
      <w:r>
        <w:t xml:space="preserve">Cost-plus financing used primarily for asset acquisition.</w:t>
      </w:r>
    </w:p>
    <w:p>
      <w:pPr>
        <w:numPr>
          <w:ilvl w:val="0"/>
          <w:numId w:val="1005"/>
        </w:numPr>
        <w:pStyle w:val="Compact"/>
      </w:pPr>
      <w:r>
        <w:rPr>
          <w:bCs/>
          <w:b/>
        </w:rPr>
        <w:t xml:space="preserve">Ijara:</w:t>
      </w:r>
      <w:r>
        <w:t xml:space="preserve"> </w:t>
      </w:r>
      <w:r>
        <w:t xml:space="preserve">Leasing arrangements for real estate and equipment.</w:t>
      </w:r>
    </w:p>
    <w:p>
      <w:pPr>
        <w:numPr>
          <w:ilvl w:val="0"/>
          <w:numId w:val="1005"/>
        </w:numPr>
        <w:pStyle w:val="Compact"/>
      </w:pPr>
      <w:r>
        <w:rPr>
          <w:bCs/>
          <w:b/>
        </w:rPr>
        <w:t xml:space="preserve">Sukuk:</w:t>
      </w:r>
      <w:r>
        <w:t xml:space="preserve"> </w:t>
      </w:r>
      <w:r>
        <w:t xml:space="preserve">Islamic bonds that are increasingly popular for corporate fundraising in Kuwait City.</w:t>
      </w:r>
    </w:p>
    <w:p>
      <w:pPr>
        <w:pStyle w:val="FirstParagraph"/>
      </w:pPr>
      <w:r>
        <w:t xml:space="preserve">A competent banker must understand the structural differences of these products, ensuring that they are genuinely Sharia-compliant while meeting the client’s financial needs. This expertise is a differentiator in the Kuwait City market.</w:t>
      </w:r>
    </w:p>
    <w:bookmarkEnd w:id="28"/>
    <w:bookmarkStart w:id="30" w:name="X917f015c74656c42d810c8d944c588cb04603d9"/>
    <w:p>
      <w:pPr>
        <w:pStyle w:val="Heading2"/>
      </w:pPr>
      <w:r>
        <w:t xml:space="preserve">Slide 7: Challenges Facing Bankers in Kuwait City</w:t>
      </w:r>
    </w:p>
    <w:p>
      <w:pPr>
        <w:pStyle w:val="FirstParagraph"/>
      </w:pPr>
      <w:r>
        <w:t xml:space="preserve">Despite its strengths, the banking sector in Kuwait City faces several challenges that bankers must navigate.</w:t>
      </w:r>
    </w:p>
    <w:bookmarkStart w:id="29" w:name="potential-obstacles"/>
    <w:p>
      <w:pPr>
        <w:pStyle w:val="Heading3"/>
      </w:pPr>
      <w:r>
        <w:t xml:space="preserve">Potential Obstacles:</w:t>
      </w:r>
    </w:p>
    <w:p>
      <w:pPr>
        <w:numPr>
          <w:ilvl w:val="0"/>
          <w:numId w:val="1006"/>
        </w:numPr>
        <w:pStyle w:val="Compact"/>
      </w:pPr>
      <w:r>
        <w:rPr>
          <w:bCs/>
          <w:b/>
        </w:rPr>
        <w:t xml:space="preserve">Economic Volatility:</w:t>
      </w:r>
      <w:r>
        <w:t xml:space="preserve"> </w:t>
      </w:r>
      <w:r>
        <w:t xml:space="preserve">Fluctuations in oil prices directly impact national income and loan demand. Bankers must maintain robust risk management frameworks to withstand economic downturns.</w:t>
      </w:r>
    </w:p>
    <w:p>
      <w:pPr>
        <w:numPr>
          <w:ilvl w:val="0"/>
          <w:numId w:val="1006"/>
        </w:numPr>
        <w:pStyle w:val="Compact"/>
      </w:pPr>
      <w:r>
        <w:rPr>
          <w:bCs/>
          <w:b/>
        </w:rPr>
        <w:t xml:space="preserve">Fintech Disruption:</w:t>
      </w:r>
    </w:p>
    <w:p>
      <w:pPr>
        <w:numPr>
          <w:ilvl w:val="0"/>
          <w:numId w:val="1006"/>
        </w:numPr>
        <w:pStyle w:val="Compact"/>
      </w:pPr>
      <w:r>
        <w:rPr>
          <w:bCs/>
          <w:b/>
        </w:rPr>
        <w:t xml:space="preserve">Talent Retention:</w:t>
      </w:r>
      <w:r>
        <w:t xml:space="preserve">] There is a growing need for specialized skills in data science and cybersecurity. Bankers must also engage in continuous professional development to stay relevant.</w:t>
      </w:r>
    </w:p>
    <w:bookmarkEnd w:id="29"/>
    <w:bookmarkEnd w:id="30"/>
    <w:bookmarkStart w:id="31" w:name="slide-8-conclusion-and-key-takeaways"/>
    <w:p>
      <w:pPr>
        <w:pStyle w:val="Heading2"/>
      </w:pPr>
      <w:r>
        <w:t xml:space="preserve">Slide 8: Conclusion and Key Takeaways</w:t>
      </w:r>
    </w:p>
    <w:p>
      <w:pPr>
        <w:pStyle w:val="FirstParagraph"/>
      </w:pPr>
      <w:r>
        <w:t xml:space="preserve">In conclusion, the role of a banker in Kuwait City is complex, dynamic, and increasingly critical to the nation's economic stability. As outlined in these seminar presentation slides, success requires a blend of traditional banking acumen, cultural intelligence, regulatory compliance awareness, and technological proficiency.</w:t>
      </w:r>
    </w:p>
    <w:p>
      <w:pPr>
        <w:pStyle w:val="BodyText"/>
      </w:pPr>
      <w:r>
        <w:rPr>
          <w:bCs/>
          <w:b/>
        </w:rPr>
        <w:t xml:space="preserve">Final Thoughts for Bankers:</w:t>
      </w:r>
    </w:p>
    <w:p>
      <w:pPr>
        <w:numPr>
          <w:ilvl w:val="0"/>
          <w:numId w:val="1007"/>
        </w:numPr>
        <w:pStyle w:val="Compact"/>
      </w:pPr>
      <w:r>
        <w:rPr>
          <w:bCs/>
          <w:b/>
        </w:rPr>
        <w:t xml:space="preserve">Innovate Continuously:</w:t>
      </w:r>
    </w:p>
    <w:p>
      <w:pPr>
        <w:numPr>
          <w:ilvl w:val="0"/>
          <w:numId w:val="1007"/>
        </w:numPr>
        <w:pStyle w:val="Compact"/>
      </w:pPr>
      <w:r>
        <w:rPr>
          <w:bCs/>
          <w:b/>
        </w:rPr>
        <w:t xml:space="preserve">Prioritize Compliance:</w:t>
      </w:r>
    </w:p>
    <w:p>
      <w:pPr>
        <w:numPr>
          <w:ilvl w:val="0"/>
          <w:numId w:val="1007"/>
        </w:numPr>
        <w:pStyle w:val="Compact"/>
      </w:pPr>
      <w:r>
        <w:t xml:space="preserve">Cultivate Relationships:</w:t>
      </w:r>
    </w:p>
    <w:p>
      <w:pPr>
        <w:pStyle w:val="FirstParagraph"/>
      </w:pPr>
      <w:r>
        <w:t xml:space="preserve">The future of banking in Kuwait City lies in those bankers who can bridge the gap between tradition and technology, ensuring sustainable growth for their institutions and their clients.</w:t>
      </w:r>
    </w:p>
    <w:bookmarkEnd w:id="31"/>
    <w:p>
      <w:pPr>
        <w:pStyle w:val="BodyText"/>
      </w:pPr>
      <w:r>
        <w:rPr>
          <w:bCs/>
          <w:b/>
        </w:rPr>
        <w:t xml:space="preserve">Note:</w:t>
      </w:r>
      <w:r>
        <w:t xml:space="preserve"> </w:t>
      </w:r>
      <w:r>
        <w:t xml:space="preserve">This document serves as a textual representation of seminar presentation slides. Visual aids, charts, and graphs should be added during the actual oral presentation to enhance engagement. The content focuses specifically on the unique economic and cultural context of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Kuwait City</dc:title>
  <dc:creator/>
  <dc:language>en</dc:language>
  <cp:keywords/>
  <dcterms:created xsi:type="dcterms:W3CDTF">2026-07-29T17:36:03Z</dcterms:created>
  <dcterms:modified xsi:type="dcterms:W3CDTF">2026-07-29T17:36:03Z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