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0" w:name="X708ee30a255555bb23a19128fdfb9031bc32300"/>
    <w:p>
      <w:pPr>
        <w:pStyle w:val="Heading1"/>
      </w:pPr>
      <w:r>
        <w:t xml:space="preserve">Seminar Presentation Slides: The Evolving Role of the Banker in Qatar Doha</w:t>
      </w:r>
    </w:p>
    <w:bookmarkStart w:id="20" w:name="X16091e992386072e9a837b63bffe9e4721c28f2"/>
    <w:p>
      <w:pPr>
        <w:pStyle w:val="Heading2"/>
      </w:pPr>
      <w:r>
        <w:t xml:space="preserve">Title Slide: Navigating the Financial Horizon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The Modern Banker in Qatar Doha: Innovation, Tradition, and Sustainability.</w:t>
      </w:r>
    </w:p>
    <w:p>
      <w:pPr>
        <w:pStyle w:val="BodyText"/>
      </w:pPr>
      <w:r>
        <w:t xml:space="preserve">This seminar presentation outlines the critical functions of a banker within the unique economic landscape of Qatar Doha. As one of the most dynamic financial centers in the Middle East, Qatari banks face distinct challenges and opportunities.</w:t>
      </w:r>
    </w:p>
    <w:bookmarkEnd w:id="20"/>
    <w:bookmarkStart w:id="21" w:name="X8fb50aee10118cc0550100275e00fd1777a3ae4"/>
    <w:p>
      <w:pPr>
        <w:pStyle w:val="Heading2"/>
      </w:pPr>
      <w:r>
        <w:t xml:space="preserve">The Economic Landscape: Why Qatar Doha Matters</w:t>
      </w:r>
    </w:p>
    <w:p>
      <w:pPr>
        <w:numPr>
          <w:ilvl w:val="0"/>
          <w:numId w:val="1001"/>
        </w:numPr>
        <w:pStyle w:val="Compact"/>
      </w:pPr>
      <w:r>
        <w:t xml:space="preserve">**Doha as a Financial Hub:** Qatar Doha has established itself as a premier regional center for Islamic finance and investment, leveraging sovereign wealth funds and robust regulatory frameworks.</w:t>
      </w:r>
    </w:p>
    <w:bookmarkEnd w:id="21"/>
    <w:bookmarkStart w:id="22" w:name="the-core-definition-of-the-banker"/>
    <w:p>
      <w:pPr>
        <w:pStyle w:val="Heading2"/>
      </w:pPr>
      <w:r>
        <w:t xml:space="preserve">The Core Definition of the Banker</w:t>
      </w:r>
    </w:p>
    <w:p>
      <w:pPr>
        <w:numPr>
          <w:ilvl w:val="0"/>
          <w:numId w:val="1002"/>
        </w:numPr>
        <w:pStyle w:val="Compact"/>
      </w:pPr>
      <w:r>
        <w:t xml:space="preserve">**Intermediation:** At its core, a banker acts as an intermediary between depositors and borrowers, managing liquidity and risk.</w:t>
      </w:r>
    </w:p>
    <w:bookmarkEnd w:id="22"/>
    <w:bookmarkStart w:id="23" w:name="digital-transformation-in-banking"/>
    <w:p>
      <w:pPr>
        <w:pStyle w:val="Heading2"/>
      </w:pPr>
      <w:r>
        <w:t xml:space="preserve">Digital Transformation in Banking</w:t>
      </w:r>
    </w:p>
    <w:p>
      <w:pPr>
        <w:numPr>
          <w:ilvl w:val="0"/>
          <w:numId w:val="1003"/>
        </w:numPr>
        <w:pStyle w:val="Compact"/>
      </w:pPr>
      <w:r>
        <w:t xml:space="preserve">**Mobile-First Strategy:** The modern banker must prioritize user experience through seamless mobile applications. In Qatar Doha, smartphone penetration is among the highest globally, demanding intuitive digital interfaces.</w:t>
      </w:r>
    </w:p>
    <w:bookmarkEnd w:id="23"/>
    <w:bookmarkStart w:id="24" w:name="the-rise-of-islamic-finance"/>
    <w:p>
      <w:pPr>
        <w:pStyle w:val="Heading2"/>
      </w:pPr>
      <w:r>
        <w:t xml:space="preserve">The Rise of Islamic Finance</w:t>
      </w:r>
    </w:p>
    <w:p>
      <w:pPr>
        <w:numPr>
          <w:ilvl w:val="0"/>
          <w:numId w:val="1004"/>
        </w:numPr>
        <w:pStyle w:val="Compact"/>
      </w:pPr>
      <w:r>
        <w:t xml:space="preserve">**Sharia Compliance:** A significant portion of banking operations in Qatar Doha is governed by Sharia law. The banker must possess deep knowledge of Islamic financial instruments such as Murabaha and Ijara.</w:t>
      </w:r>
    </w:p>
    <w:bookmarkEnd w:id="24"/>
    <w:bookmarkStart w:id="25" w:name="sustainability-and-esg-goals"/>
    <w:p>
      <w:pPr>
        <w:pStyle w:val="Heading2"/>
      </w:pPr>
      <w:r>
        <w:t xml:space="preserve">Sustainability and ESG Goals</w:t>
      </w:r>
    </w:p>
    <w:p>
      <w:pPr>
        <w:numPr>
          <w:ilvl w:val="0"/>
          <w:numId w:val="1005"/>
        </w:numPr>
        <w:pStyle w:val="Compact"/>
      </w:pPr>
      <w:r>
        <w:t xml:space="preserve">**Green Financing:** Aligning with Qatar National Vision 2030, bankers are increasingly tasked with funding sustainable projects. This includes green bonds and financing for renewable energy initiatives.</w:t>
      </w:r>
    </w:p>
    <w:bookmarkEnd w:id="25"/>
    <w:bookmarkStart w:id="26" w:name="risk-management-and-compliance"/>
    <w:p>
      <w:pPr>
        <w:pStyle w:val="Heading2"/>
      </w:pPr>
      <w:r>
        <w:t xml:space="preserve">Risk Management and Compliance</w:t>
      </w:r>
    </w:p>
    <w:p>
      <w:pPr>
        <w:numPr>
          <w:ilvl w:val="0"/>
          <w:numId w:val="1006"/>
        </w:numPr>
        <w:pStyle w:val="Compact"/>
      </w:pPr>
      <w:r>
        <w:t xml:space="preserve">**AML/CFT Regulations:** Anti-Money Laundering and Countering the Financing of Terrorism regulations are strictly enforced. The banker must employ sophisticated monitoring tools to detect suspicious activities.</w:t>
      </w:r>
    </w:p>
    <w:bookmarkEnd w:id="26"/>
    <w:bookmarkStart w:id="27" w:name="cultural-intelligence-and-soft-skills"/>
    <w:p>
      <w:pPr>
        <w:pStyle w:val="Heading2"/>
      </w:pPr>
      <w:r>
        <w:t xml:space="preserve">Cultural Intelligence and Soft Skills</w:t>
      </w:r>
    </w:p>
    <w:p>
      <w:pPr>
        <w:numPr>
          <w:ilvl w:val="0"/>
          <w:numId w:val="1007"/>
        </w:numPr>
        <w:pStyle w:val="Compact"/>
      </w:pPr>
      <w:r>
        <w:t xml:space="preserve">**Relationship Banking:** In Qatar Doha, business is relationship-driven. The banker must demonstrate cultural intelligence, understanding local customs, etiquette, and communication styles.</w:t>
      </w:r>
    </w:p>
    <w:bookmarkEnd w:id="27"/>
    <w:bookmarkStart w:id="28" w:name="the-future-outlook-for-bankers"/>
    <w:p>
      <w:pPr>
        <w:pStyle w:val="Heading2"/>
      </w:pPr>
      <w:r>
        <w:t xml:space="preserve">The Future Outlook for Bankers</w:t>
      </w:r>
    </w:p>
    <w:p>
      <w:pPr>
        <w:numPr>
          <w:ilvl w:val="0"/>
          <w:numId w:val="1008"/>
        </w:numPr>
        <w:pStyle w:val="Compact"/>
      </w:pPr>
      <w:r>
        <w:t xml:space="preserve">**Continuous Learning:** The financial landscape changes rapidly. Bankers must commit to lifelong learning, staying updated on global economic trends and local regulatory shifts.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numPr>
          <w:ilvl w:val="0"/>
          <w:numId w:val="1009"/>
        </w:numPr>
        <w:pStyle w:val="Compact"/>
      </w:pPr>
      <w:r>
        <w:t xml:space="preserve">**Summary:** The banker is no longer just a gatekeeper of money but a strategic partner in economic development.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Banker in Qatar Doha</dc:title>
  <dc:creator/>
  <dc:language>en</dc:language>
  <cp:keywords/>
  <dcterms:created xsi:type="dcterms:W3CDTF">2026-07-29T08:00:54Z</dcterms:created>
  <dcterms:modified xsi:type="dcterms:W3CDTF">2026-07-29T08:00:54Z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