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t xml:space="preserve">The Evolving Role of the</w:t>
      </w:r>
      <w:r>
        <w:t xml:space="preserve"> </w:t>
      </w:r>
      <w:r>
        <w:rPr>
          <w:bCs/>
          <w:b/>
        </w:rPr>
        <w:t xml:space="preserve">Banker</w:t>
      </w:r>
      <w:r>
        <w:t xml:space="preserve"> </w:t>
      </w:r>
      <w:r>
        <w:t xml:space="preserve">in the Financial Landscape of</w:t>
      </w:r>
      <w:r>
        <w:t xml:space="preserve"> </w:t>
      </w:r>
      <w:r>
        <w:rPr>
          <w:bCs/>
          <w:b/>
        </w:rPr>
        <w:t xml:space="preserve">Saudi Arabia Jeddah</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dedicated to analyzing the critical role of the modern banker within one of the most dynamic economic hubs in the Middle East. This document serves as a detailed guide for stakeholders, financial professionals, and students interested in understanding how banking practices are transforming. The focus is specifically on</w:t>
      </w:r>
      <w:r>
        <w:t xml:space="preserve"> </w:t>
      </w:r>
      <w:r>
        <w:rPr>
          <w:bCs/>
          <w:b/>
        </w:rPr>
        <w:t xml:space="preserve">Saudi Arabia Jeddah</w:t>
      </w:r>
      <w:r>
        <w:t xml:space="preserve">, a city that stands at the crossroads of global trade, Islamic finance heritage, and futuristic digital innovation.</w:t>
      </w:r>
    </w:p>
    <w:p>
      <w:pPr>
        <w:pStyle w:val="BodyText"/>
      </w:pPr>
      <w:r>
        <w:t xml:space="preserve">As we navigate through these slides, we will explore not just the traditional duties of a banker but also the strategic imperatives facing financial institutions today. The unique geographic and cultural position of</w:t>
      </w:r>
      <w:r>
        <w:t xml:space="preserve"> </w:t>
      </w:r>
      <w:r>
        <w:rPr>
          <w:bCs/>
          <w:b/>
        </w:rPr>
        <w:t xml:space="preserve">Saudi Arabia Jeddah</w:t>
      </w:r>
      <w:r>
        <w:t xml:space="preserve"> </w:t>
      </w:r>
      <w:r>
        <w:t xml:space="preserve">provides a fascinating case study for global banking trends. From serving pilgrims during Hajj to facilitating mega-projects like NEOM, the bankers operating in this region must possess a multidimensional skill set that blends technical financial expertise with deep cultural intelligence.</w:t>
      </w:r>
    </w:p>
    <w:bookmarkEnd w:id="21"/>
    <w:bookmarkStart w:id="22" w:name="X7a1b4b6b5d126544676dc52ef3c0067c0b1fdfd"/>
    <w:p>
      <w:pPr>
        <w:pStyle w:val="Heading2"/>
      </w:pPr>
      <w:r>
        <w:t xml:space="preserve">Slide 2: The Economic Significance of</w:t>
      </w:r>
      <w:r>
        <w:t xml:space="preserve"> </w:t>
      </w:r>
      <w:r>
        <w:rPr>
          <w:bCs/>
          <w:b/>
        </w:rPr>
        <w:t xml:space="preserve">Saudi Arabia Jeddah</w:t>
      </w:r>
    </w:p>
    <w:p>
      <w:pPr>
        <w:pStyle w:val="FirstParagraph"/>
      </w:pPr>
      <w:r>
        <w:t xml:space="preserve">Jeddah is not merely a city; it is the economic gateway to the holy cities of Makkah and Madinah. For any</w:t>
      </w:r>
      <w:r>
        <w:t xml:space="preserve"> </w:t>
      </w:r>
      <w:r>
        <w:rPr>
          <w:bCs/>
          <w:b/>
        </w:rPr>
        <w:t xml:space="preserve">banker</w:t>
      </w:r>
      <w:r>
        <w:t xml:space="preserve">, understanding this context is paramount. The city hosts significant commercial activity, including port operations, logistics, and tourism-related financial services.</w:t>
      </w:r>
    </w:p>
    <w:p>
      <w:pPr>
        <w:numPr>
          <w:ilvl w:val="0"/>
          <w:numId w:val="1001"/>
        </w:numPr>
        <w:pStyle w:val="Compact"/>
      </w:pPr>
      <w:r>
        <w:rPr>
          <w:bCs/>
          <w:b/>
        </w:rPr>
        <w:t xml:space="preserve">The Red Sea Project:</w:t>
      </w:r>
      <w:r>
        <w:t xml:space="preserve"> </w:t>
      </w:r>
      <w:r>
        <w:t xml:space="preserve">As one of Saudi Arabia’s Vision 2030 giga-projects, the Red Sea development requires massive capital structuring and sustainable financing models. Bankers here are tasked with aligning profit motives with environmental stewardship.</w:t>
      </w:r>
    </w:p>
    <w:p>
      <w:pPr>
        <w:numPr>
          <w:ilvl w:val="0"/>
          <w:numId w:val="1001"/>
        </w:numPr>
        <w:pStyle w:val="Compact"/>
      </w:pPr>
      <w:r>
        <w:rPr>
          <w:bCs/>
          <w:b/>
        </w:rPr>
        <w:t xml:space="preserve">Tourism Finance:</w:t>
      </w:r>
      <w:r>
        <w:t xml:space="preserve"> </w:t>
      </w:r>
      <w:r>
        <w:t xml:space="preserve">With millions of visitors annually, including Umrah pilgrims and luxury tourists, there is a surge in demand for consumer credit, travel insurance products, and cross-border payment solutions. A modern</w:t>
      </w:r>
      <w:r>
        <w:t xml:space="preserve"> </w:t>
      </w:r>
      <w:r>
        <w:rPr>
          <w:bCs/>
          <w:b/>
        </w:rPr>
        <w:t xml:space="preserve">banker</w:t>
      </w:r>
      <w:r>
        <w:t xml:space="preserve"> </w:t>
      </w:r>
      <w:r>
        <w:t xml:space="preserve">must design products that cater to this high-volume, low-margin yet high-turnover demographic.</w:t>
      </w:r>
    </w:p>
    <w:p>
      <w:pPr>
        <w:numPr>
          <w:ilvl w:val="0"/>
          <w:numId w:val="1001"/>
        </w:numPr>
        <w:pStyle w:val="Compact"/>
      </w:pPr>
      <w:r>
        <w:rPr>
          <w:bCs/>
          <w:b/>
        </w:rPr>
        <w:t xml:space="preserve">Logistics Hub:</w:t>
      </w:r>
      <w:r>
        <w:t xml:space="preserve"> </w:t>
      </w:r>
      <w:r>
        <w:t xml:space="preserve">Jeddah Islamic Port is one of the busiest in the region. Trade finance professionals play a crucial role in facilitating letters of credit and supply chain financing for importers and exporters.</w:t>
      </w:r>
    </w:p>
    <w:bookmarkEnd w:id="22"/>
    <w:bookmarkStart w:id="23" w:name="slide-3-aligning-with-vision-2030-goals"/>
    <w:p>
      <w:pPr>
        <w:pStyle w:val="Heading2"/>
      </w:pPr>
      <w:r>
        <w:t xml:space="preserve">Slide 3: Aligning with Vision 2030 Goals</w:t>
      </w:r>
    </w:p>
    <w:p>
      <w:pPr>
        <w:pStyle w:val="FirstParagraph"/>
      </w:pPr>
      <w:r>
        <w:t xml:space="preserve">Saudi Arabia’s Vision 2030 is a blueprint for reducing dependence on oil, diversifying the economy, and developing public service sectors such as health, education, infrastructure, recreation and tourism. For the</w:t>
      </w:r>
      <w:r>
        <w:t xml:space="preserve"> </w:t>
      </w:r>
      <w:r>
        <w:rPr>
          <w:bCs/>
          <w:b/>
        </w:rPr>
        <w:t xml:space="preserve">banker</w:t>
      </w:r>
      <w:r>
        <w:t xml:space="preserve"> </w:t>
      </w:r>
      <w:r>
        <w:t xml:space="preserve">in</w:t>
      </w:r>
      <w:r>
        <w:t xml:space="preserve"> </w:t>
      </w:r>
      <w:r>
        <w:rPr>
          <w:bCs/>
          <w:b/>
        </w:rPr>
        <w:t xml:space="preserve">Saudi Arabia Jeddah</w:t>
      </w:r>
      <w:r>
        <w:t xml:space="preserve">, this translates into specific operational shifts.</w:t>
      </w:r>
    </w:p>
    <w:p>
      <w:pPr>
        <w:pStyle w:val="BodyText"/>
      </w:pPr>
      <w:r>
        <w:t xml:space="preserve">Digital transformation is no longer optional; it is existential. The new generation of customers in Jeddah expects seamless mobile banking experiences, instant transfers, and AI-driven financial advice. Bankers must act as consultants who guide their institutions through this digital overhaul while ensuring regulatory compliance with the Saudi Central Bank (SAMA).</w:t>
      </w:r>
    </w:p>
    <w:p>
      <w:pPr>
        <w:pStyle w:val="BodyText"/>
      </w:pPr>
      <w:r>
        <w:t xml:space="preserve">Key areas of focus include:</w:t>
      </w:r>
    </w:p>
    <w:p>
      <w:pPr>
        <w:numPr>
          <w:ilvl w:val="0"/>
          <w:numId w:val="1002"/>
        </w:numPr>
        <w:pStyle w:val="Compact"/>
      </w:pPr>
      <w:r>
        <w:t xml:space="preserve">Fintech partnerships: Collaborating with local startups to enhance user experience.</w:t>
      </w:r>
    </w:p>
    <w:p>
      <w:pPr>
        <w:numPr>
          <w:ilvl w:val="0"/>
          <w:numId w:val="1002"/>
        </w:numPr>
        <w:pStyle w:val="Compact"/>
      </w:pPr>
      <w:r>
        <w:t xml:space="preserve">Cybersecurity: Protecting customer data in an increasingly connected financial ecosystem.</w:t>
      </w:r>
    </w:p>
    <w:bookmarkEnd w:id="23"/>
    <w:bookmarkStart w:id="24" w:name="Xcd8c25ecafdb4d28e82a650491318e49fc3725b"/>
    <w:p>
      <w:pPr>
        <w:pStyle w:val="Heading2"/>
      </w:pPr>
      <w:r>
        <w:t xml:space="preserve">Slide 4: Mastery of Islamic Banking Principles</w:t>
      </w:r>
    </w:p>
    <w:p>
      <w:pPr>
        <w:pStyle w:val="FirstParagraph"/>
      </w:pPr>
      <w:r>
        <w:t xml:space="preserve">A</w:t>
      </w:r>
      <w:r>
        <w:t xml:space="preserve"> </w:t>
      </w:r>
      <w:r>
        <w:rPr>
          <w:bCs/>
          <w:b/>
        </w:rPr>
        <w:t xml:space="preserve">banker</w:t>
      </w:r>
      <w:r>
        <w:t xml:space="preserve"> </w:t>
      </w:r>
      <w:r>
        <w:t xml:space="preserve">working in</w:t>
      </w:r>
      <w:r>
        <w:t xml:space="preserve"> </w:t>
      </w:r>
      <w:r>
        <w:rPr>
          <w:bCs/>
          <w:b/>
        </w:rPr>
        <w:t xml:space="preserve">Saudi Arabia Jeddah</w:t>
      </w:r>
      <w:r>
        <w:t xml:space="preserve"> </w:t>
      </w:r>
      <w:r>
        <w:t xml:space="preserve">cannot ignore the profound influence of Sharia-compliant finance. Unlike conventional banking, which relies on interest (Riba), Islamic banking operates on profit-and-loss sharing principles, asset-backed financing, and ethical investments.</w:t>
      </w:r>
    </w:p>
    <w:p>
      <w:pPr>
        <w:pStyle w:val="BodyText"/>
      </w:pPr>
      <w:r>
        <w:t xml:space="preserve">This seminar highlights that a successful banker must be fluent in both conventional financial analysis and Islamic jurisprudence concepts. Products such as Murabaha (cost-plus financing), Ijara (leasing), and Sukuk (Islamic bonds) are prevalent in Jeddah’s market. The ability to structure complex deals that satisfy both international investors seeking returns and local clients requiring religious compliance is a high-value skill.</w:t>
      </w:r>
    </w:p>
    <w:p>
      <w:pPr>
        <w:pStyle w:val="BodyText"/>
      </w:pPr>
      <w:r>
        <w:t xml:space="preserve">Furthermore, ethical banking practices align naturally with the broader goals of social responsibility within Saudi society, enhancing the bank’s reputation and customer loyalty.</w:t>
      </w:r>
    </w:p>
    <w:bookmarkEnd w:id="24"/>
    <w:bookmarkStart w:id="25" w:name="slide-5-navigating-regulatory-frameworks"/>
    <w:p>
      <w:pPr>
        <w:pStyle w:val="Heading2"/>
      </w:pPr>
      <w:r>
        <w:t xml:space="preserve">Slide 5: Navigating Regulatory Frameworks</w:t>
      </w:r>
    </w:p>
    <w:p>
      <w:pPr>
        <w:pStyle w:val="FirstParagraph"/>
      </w:pPr>
      <w:r>
        <w:t xml:space="preserve">The regulatory environment in</w:t>
      </w:r>
      <w:r>
        <w:t xml:space="preserve"> </w:t>
      </w:r>
      <w:r>
        <w:rPr>
          <w:bCs/>
          <w:b/>
        </w:rPr>
        <w:t xml:space="preserve">Saudi Arabia Jeddah</w:t>
      </w:r>
      <w:r>
        <w:t xml:space="preserve"> </w:t>
      </w:r>
      <w:r>
        <w:t xml:space="preserve">is robust and constantly evolving. The Saudi Central Bank (SAMA) imposes strict guidelines regarding capital adequacy, anti-money laundering (AML), and countering the financing of terrorism (CFT).</w:t>
      </w:r>
    </w:p>
    <w:p>
      <w:pPr>
        <w:pStyle w:val="BodyText"/>
      </w:pPr>
      <w:r>
        <w:t xml:space="preserve">A professional</w:t>
      </w:r>
    </w:p>
    <w:p>
      <w:pPr>
        <w:pStyle w:val="BodyText"/>
      </w:pPr>
      <w:r>
        <w:t xml:space="preserve">banker</w:t>
      </w:r>
    </w:p>
    <w:bookmarkEnd w:id="25"/>
    <w:bookmarkStart w:id="26" w:name="slide-6-the-human-element-in-banking"/>
    <w:p>
      <w:pPr>
        <w:pStyle w:val="Heading2"/>
      </w:pPr>
      <w:r>
        <w:t xml:space="preserve">Slide 6: The Human Element in Banking</w:t>
      </w:r>
    </w:p>
    <w:p>
      <w:pPr>
        <w:pStyle w:val="FirstParagraph"/>
      </w:pPr>
      <w:r>
        <w:t xml:space="preserve">Despite technological advancements, banking remains a relationship-driven industry. In</w:t>
      </w:r>
      <w:r>
        <w:t xml:space="preserve"> </w:t>
      </w:r>
      <w:r>
        <w:rPr>
          <w:bCs/>
          <w:b/>
        </w:rPr>
        <w:t xml:space="preserve">Saudi Arabia Jeddah</w:t>
      </w:r>
      <w:r>
        <w:t xml:space="preserve">, personal relationships and trust are deeply valued in business dealings. A banker must possess strong interpersonal skills, cultural awareness, and patience.</w:t>
      </w:r>
    </w:p>
    <w:p>
      <w:pPr>
        <w:numPr>
          <w:ilvl w:val="0"/>
          <w:numId w:val="1003"/>
        </w:numPr>
        <w:pStyle w:val="Compact"/>
      </w:pPr>
      <w:r>
        <w:t xml:space="preserve">Negotiation Skills: Essential for structuring deals that satisfy all parties.</w:t>
      </w:r>
    </w:p>
    <w:p>
      <w:pPr>
        <w:numPr>
          <w:ilvl w:val="0"/>
          <w:numId w:val="1003"/>
        </w:numPr>
        <w:pStyle w:val="Compact"/>
      </w:pPr>
      <w:r>
        <w:t xml:space="preserve">Cultural Intelligence: Understanding the nuances of Saudi business etiquette is crucial for building long-term client relationships.</w:t>
      </w:r>
    </w:p>
    <w:bookmarkEnd w:id="26"/>
    <w:bookmarkStart w:id="27" w:name="slide-7-the-future-of-banking-in-jeddah"/>
    <w:p>
      <w:pPr>
        <w:pStyle w:val="Heading2"/>
      </w:pPr>
      <w:r>
        <w:t xml:space="preserve">Slide 7: The Future of Banking in Jeddah</w:t>
      </w:r>
    </w:p>
    <w:p>
      <w:pPr>
        <w:pStyle w:val="FirstParagraph"/>
      </w:pPr>
      <w:r>
        <w:t xml:space="preserve">Looking ahead, the role of the</w:t>
      </w:r>
      <w:r>
        <w:t xml:space="preserve"> </w:t>
      </w:r>
      <w:r>
        <w:rPr>
          <w:bCs/>
          <w:b/>
        </w:rPr>
        <w:t xml:space="preserve">banker</w:t>
      </w:r>
      <w:r>
        <w:t xml:space="preserve"> </w:t>
      </w:r>
      <w:r>
        <w:t xml:space="preserve">will continue to expand beyond traditional finance. We anticipate greater integration of blockchain technology for secure transactions, artificial intelligence for credit scoring, and green finance instruments for sustainable development projects.</w:t>
      </w:r>
    </w:p>
    <w:p>
      <w:pPr>
        <w:pStyle w:val="BodyText"/>
      </w:pPr>
      <w:r>
        <w:t xml:space="preserve">Jeddah is positioning itself as a global financial center. This ambition requires bankers who are not only technicians but also innovators and strategists. They must be ready to adapt to changing market dynamics and lead their institutions toward sustainable growth.</w:t>
      </w:r>
    </w:p>
    <w:bookmarkEnd w:id="27"/>
    <w:bookmarkStart w:id="28" w:name="slide-8-conclusion"/>
    <w:p>
      <w:pPr>
        <w:pStyle w:val="Heading2"/>
      </w:pPr>
      <w:r>
        <w:t xml:space="preserve">Slide 8: Conclusion</w:t>
      </w:r>
    </w:p>
    <w:p>
      <w:pPr>
        <w:pStyle w:val="FirstParagraph"/>
      </w:pPr>
      <w:r>
        <w:t xml:space="preserve">In conclusion, being a</w:t>
      </w:r>
      <w:r>
        <w:t xml:space="preserve"> </w:t>
      </w:r>
      <w:r>
        <w:rPr>
          <w:bCs/>
          <w:b/>
        </w:rPr>
        <w:t xml:space="preserve">banker</w:t>
      </w:r>
      <w:r>
        <w:t xml:space="preserve"> </w:t>
      </w:r>
      <w:r>
        <w:t xml:space="preserve">in</w:t>
      </w:r>
      <w:r>
        <w:t xml:space="preserve"> </w:t>
      </w:r>
      <w:r>
        <w:rPr>
          <w:bCs/>
          <w:b/>
        </w:rPr>
        <w:t xml:space="preserve">Saudi Arabia Jeddah</w:t>
      </w:r>
    </w:p>
    <w:p>
      <w:pPr>
        <w:numPr>
          <w:ilvl w:val="0"/>
          <w:numId w:val="1004"/>
        </w:numPr>
        <w:pStyle w:val="Compact"/>
      </w:pPr>
      <w:r>
        <w:t xml:space="preserve">Embrace digital transformation.</w:t>
      </w:r>
    </w:p>
    <w:p>
      <w:pPr>
        <w:numPr>
          <w:ilvl w:val="0"/>
          <w:numId w:val="1004"/>
        </w:numPr>
        <w:pStyle w:val="Compact"/>
      </w:pPr>
      <w:r>
        <w:t xml:space="preserve">Master Islamic finance principles.</w:t>
      </w:r>
    </w:p>
    <w:p>
      <w:pPr>
        <w:numPr>
          <w:ilvl w:val="0"/>
          <w:numId w:val="1004"/>
        </w:numPr>
        <w:pStyle w:val="Compact"/>
      </w:pPr>
      <w:r>
        <w:t xml:space="preserve">Foster strong community relationships.</w:t>
      </w:r>
    </w:p>
    <w:bookmarkEnd w:id="28"/>
    <w:bookmarkStart w:id="29" w:name="slide-9-questions-and-answers"/>
    <w:p>
      <w:pPr>
        <w:pStyle w:val="Heading2"/>
      </w:pPr>
      <w:r>
        <w:t xml:space="preserve">Slide 9: Questions and Answers</w:t>
      </w:r>
    </w:p>
    <w:bookmarkEnd w:id="29"/>
    <w:p>
      <w:pPr>
        <w:pStyle w:val="FirstParagraph"/>
      </w:pPr>
      <w:r>
        <w:t xml:space="preserve">Thank you for attending this seminar on the</w:t>
      </w:r>
      <w:r>
        <w:t xml:space="preserve"> </w:t>
      </w:r>
      <w:r>
        <w:rPr>
          <w:bCs/>
          <w:b/>
        </w:rPr>
        <w:t xml:space="preserve">Seminar Presentation Slides</w:t>
      </w:r>
      <w:r>
        <w:t xml:space="preserve">BankerSaudi Arabia Jeddah.</w:t>
      </w:r>
    </w:p>
    <w:p>
      <w:pPr>
        <w:pStyle w:val="BodyText"/>
      </w:pPr>
      <w:r>
        <w:t xml:space="preserve">© 2023 Financial Education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Saudi Arabia Jeddah</dc:title>
  <dc:creator/>
  <dc:language>en</dc:language>
  <cp:keywords/>
  <dcterms:created xsi:type="dcterms:W3CDTF">2026-07-30T09:11:07Z</dcterms:created>
  <dcterms:modified xsi:type="dcterms:W3CDTF">2026-07-30T09:11:07Z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