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bookmarkStart w:id="20" w:name="Xc52b967fca6f6f22972968281fefa19b61de9c5"/>
    <w:p>
      <w:pPr>
        <w:pStyle w:val="Heading2"/>
      </w:pPr>
      <w:r>
        <w:t xml:space="preserve">The Evolving Role of the Banker in Venezuela Caracas: Navigating Crisis, Innovation, and Resilience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Caracas, Bolivarian Republic of Venezuela</w:t>
      </w:r>
      <w:r>
        <w:br/>
      </w:r>
    </w:p>
    <w:p>
      <w:pPr>
        <w:pStyle w:val="BodyText"/>
      </w:pPr>
      <w:r>
        <w:t xml:space="preserve">Presentation Type:Seminar Presentation Slides Document</w:t>
      </w:r>
    </w:p>
    <w:bookmarkEnd w:id="20"/>
    <w:bookmarkEnd w:id="21"/>
    <w:bookmarkStart w:id="22" w:name="X58ce602ef57949b864a00394573d30a0df99c04"/>
    <w:p>
      <w:pPr>
        <w:pStyle w:val="Heading2"/>
      </w:pPr>
      <w:r>
        <w:t xml:space="preserve">The Historical Context: From Stability to Volatility</w:t>
      </w:r>
    </w:p>
    <w:p>
      <w:pPr>
        <w:pStyle w:val="FirstParagraph"/>
      </w:pPr>
      <w:r>
        <w:t xml:space="preserve">To understand the current state of banking in</w:t>
      </w:r>
      <w:r>
        <w:t xml:space="preserve"> </w:t>
      </w:r>
      <w:r>
        <w:rPr>
          <w:bCs/>
          <w:b/>
        </w:rPr>
        <w:t xml:space="preserve">Venezuela Caracas</w:t>
      </w:r>
      <w:r>
        <w:t xml:space="preserve">, we must first acknowledge the profound shifts that have occurred over the last decade. The financial landscape here is not merely a market; it is a battlefield of economic survival. Historically, banks in Caracas operated under a framework of relative stability driven by oil revenues. However, hyperinflation, currency devaluation, and international sanctions have forced every</w:t>
      </w:r>
      <w:r>
        <w:t xml:space="preserve"> </w:t>
      </w:r>
      <w:r>
        <w:rPr>
          <w:bCs/>
          <w:b/>
        </w:rPr>
        <w:t xml:space="preserve">Banker</w:t>
      </w:r>
      <w:r>
        <w:t xml:space="preserve"> </w:t>
      </w:r>
      <w:r>
        <w:t xml:space="preserve">to fundamentally rewrite the rules of engagement.</w:t>
      </w:r>
    </w:p>
    <w:p>
      <w:pPr>
        <w:pStyle w:val="BodyText"/>
      </w:pPr>
      <w:r>
        <w:t xml:space="preserve">The transition from a stable bolívar-based system to a heavily dollarized economy has been the single most significant factor shaping modern banking practices in the capital. This seminar will explore how bankers are adapting their strategies, risk assessments, and customer relationship models to survive and thrive in this unique ecosystem.</w:t>
      </w:r>
    </w:p>
    <w:bookmarkEnd w:id="22"/>
    <w:bookmarkStart w:id="23" w:name="the-dual-currency-reality"/>
    <w:p>
      <w:pPr>
        <w:pStyle w:val="Heading2"/>
      </w:pPr>
      <w:r>
        <w:t xml:space="preserve">The Dual Currency Reality</w:t>
      </w:r>
    </w:p>
    <w:p>
      <w:pPr>
        <w:pStyle w:val="FirstParagraph"/>
      </w:pPr>
      <w:r>
        <w:t xml:space="preserve">A defining characteristic of banking in</w:t>
      </w:r>
      <w:r>
        <w:t xml:space="preserve"> </w:t>
      </w:r>
      <w:r>
        <w:rPr>
          <w:bCs/>
          <w:b/>
        </w:rPr>
        <w:t xml:space="preserve">Venezuela Caracas</w:t>
      </w:r>
      <w:r>
        <w:t xml:space="preserve"> </w:t>
      </w:r>
      <w:r>
        <w:t xml:space="preserve">today is the coexistence of multiple currencies. While the bolívar remains legal tender, its volatility has pushed a significant portion of transactions, including salaries and retail purchases, toward the US Dollar. Consequently, every</w:t>
      </w:r>
      <w:r>
        <w:t xml:space="preserve"> </w:t>
      </w:r>
      <w:r>
        <w:rPr>
          <w:bCs/>
          <w:b/>
        </w:rPr>
        <w:t xml:space="preserve">Banker</w:t>
      </w:r>
      <w:r>
        <w:t xml:space="preserve"> </w:t>
      </w:r>
      <w:r>
        <w:t xml:space="preserve">operating in this region must possess expert knowledge in multi-currency management.</w:t>
      </w:r>
    </w:p>
    <w:p>
      <w:pPr>
        <w:numPr>
          <w:ilvl w:val="0"/>
          <w:numId w:val="1001"/>
        </w:numPr>
        <w:pStyle w:val="Compact"/>
      </w:pPr>
      <w:r>
        <w:rPr>
          <w:bCs/>
          <w:b/>
        </w:rPr>
        <w:t xml:space="preserve">Cash Management:</w:t>
      </w:r>
      <w:r>
        <w:t xml:space="preserve"> </w:t>
      </w:r>
      <w:r>
        <w:t xml:space="preserve">Physical dollars are often scarce or subject to heavy premiums. Bankers must manage liquidity pools that can instantly convert between local and foreign currencies without prohibitive losses.</w:t>
      </w:r>
    </w:p>
    <w:p>
      <w:pPr>
        <w:numPr>
          <w:ilvl w:val="0"/>
          <w:numId w:val="1001"/>
        </w:numPr>
        <w:pStyle w:val="Compact"/>
      </w:pPr>
      <w:r>
        <w:rPr>
          <w:bCs/>
          <w:b/>
        </w:rPr>
        <w:t xml:space="preserve">Digital Transfers:</w:t>
      </w:r>
      <w:r>
        <w:t xml:space="preserve"> </w:t>
      </w:r>
      <w:r>
        <w:t xml:space="preserve">Due to the lack of physical cash, digital transfers via platforms like Zelle, Binance P2P, and local bank apps have become the primary method of commerce. The role of the banker has shifted from cash handler to digital infrastructure manager.</w:t>
      </w:r>
    </w:p>
    <w:p>
      <w:pPr>
        <w:pStyle w:val="FirstParagraph"/>
      </w:pPr>
      <w:r>
        <w:t xml:space="preserve">For any</w:t>
      </w:r>
      <w:r>
        <w:t xml:space="preserve"> </w:t>
      </w:r>
      <w:r>
        <w:rPr>
          <w:bCs/>
          <w:b/>
        </w:rPr>
        <w:t xml:space="preserve">Seminar Presentation Slides</w:t>
      </w:r>
      <w:r>
        <w:t xml:space="preserve"> </w:t>
      </w:r>
      <w:r>
        <w:t xml:space="preserve">focusing on this region, it is crucial to emphasize that currency risk is no longer just a financial metric; it is an existential threat to bank solvency.</w:t>
      </w:r>
    </w:p>
    <w:bookmarkEnd w:id="23"/>
    <w:bookmarkStart w:id="24" w:name="Xbc1d47106519f80c3edd7c27af21b4cf818660a"/>
    <w:p>
      <w:pPr>
        <w:pStyle w:val="Heading2"/>
      </w:pPr>
      <w:r>
        <w:t xml:space="preserve">Digital Transformation and Fintech Integration</w:t>
      </w:r>
    </w:p>
    <w:p>
      <w:pPr>
        <w:pStyle w:val="FirstParagraph"/>
      </w:pPr>
      <w:r>
        <w:t xml:space="preserve">In</w:t>
      </w:r>
      <w:r>
        <w:t xml:space="preserve"> </w:t>
      </w:r>
      <w:r>
        <w:rPr>
          <w:bCs/>
          <w:b/>
        </w:rPr>
        <w:t xml:space="preserve">Venezuela Caracas</w:t>
      </w:r>
      <w:r>
        <w:t xml:space="preserve">, traditional brick-and-mortar banking faces severe challenges, including power outages and infrastructure decay. This has accelerated the adoption of fintech solutions. The modern</w:t>
      </w:r>
      <w:r>
        <w:t xml:space="preserve"> </w:t>
      </w:r>
      <w:r>
        <w:rPr>
          <w:bCs/>
          <w:b/>
        </w:rPr>
        <w:t xml:space="preserve">Banker</w:t>
      </w:r>
      <w:r>
        <w:t xml:space="preserve"> </w:t>
      </w:r>
      <w:r>
        <w:t xml:space="preserve">in Caracas is increasingly a digital strategist.</w:t>
      </w:r>
    </w:p>
    <w:p>
      <w:pPr>
        <w:numPr>
          <w:ilvl w:val="0"/>
          <w:numId w:val="1002"/>
        </w:numPr>
        <w:pStyle w:val="Compact"/>
      </w:pPr>
      <w:r>
        <w:rPr>
          <w:bCs/>
          <w:b/>
        </w:rPr>
        <w:t xml:space="preserve">Mobility First:</w:t>
      </w:r>
      <w:r>
        <w:t xml:space="preserve"> </w:t>
      </w:r>
      <w:r>
        <w:t xml:space="preserve">Mobile banking apps are not just supplementary; they are the primary interface for 70% of transactions. Bankers must ensure these platforms are robust, secure, and user-friendly despite connectivity issues.</w:t>
      </w:r>
    </w:p>
    <w:p>
      <w:pPr>
        <w:numPr>
          <w:ilvl w:val="0"/>
          <w:numId w:val="1002"/>
        </w:numPr>
        <w:pStyle w:val="Compact"/>
      </w:pPr>
      <w:r>
        <w:rPr>
          <w:bCs/>
          <w:b/>
        </w:rPr>
        <w:t xml:space="preserve">Cryptocurrency Adoption:</w:t>
      </w:r>
      <w:r>
        <w:t xml:space="preserve"> </w:t>
      </w:r>
      <w:r>
        <w:t xml:space="preserve">Venezuela was one of the first nations to attempt launching a sovereign cryptocurrency (the Petro). While it faced criticism, it signaled the willingness of local financial institutions to explore blockchain technologies. Today, many private banks in Caracas partner with crypto exchanges to facilitate smoother cross-border remittances.</w:t>
      </w:r>
    </w:p>
    <w:p>
      <w:pPr>
        <w:numPr>
          <w:ilvl w:val="0"/>
          <w:numId w:val="1002"/>
        </w:numPr>
        <w:pStyle w:val="Compact"/>
      </w:pPr>
      <w:r>
        <w:rPr>
          <w:bCs/>
          <w:b/>
        </w:rPr>
        <w:t xml:space="preserve">Social Commerce:</w:t>
      </w:r>
      <w:r>
        <w:t xml:space="preserve"> </w:t>
      </w:r>
      <w:r>
        <w:t xml:space="preserve">Banks are integrating services into social media platforms like WhatsApp and Telegram, which are ubiquitous in</w:t>
      </w:r>
      <w:r>
        <w:t xml:space="preserve"> </w:t>
      </w:r>
      <w:r>
        <w:rPr>
          <w:bCs/>
          <w:b/>
        </w:rPr>
        <w:t xml:space="preserve">Venezuela Caracas</w:t>
      </w:r>
      <w:r>
        <w:t xml:space="preserve">. Customer service is no longer confined to the bank branch but extends into the digital chat rooms where citizens conduct daily business.</w:t>
      </w:r>
    </w:p>
    <w:bookmarkEnd w:id="24"/>
    <w:bookmarkStart w:id="25" w:name="risk-management-in-a-sanctioned-economy"/>
    <w:p>
      <w:pPr>
        <w:pStyle w:val="Heading2"/>
      </w:pPr>
      <w:r>
        <w:t xml:space="preserve">Risk Management in a Sanctioned Economy</w:t>
      </w:r>
    </w:p>
    <w:p>
      <w:pPr>
        <w:pStyle w:val="FirstParagraph"/>
      </w:pPr>
      <w:r>
        <w:t xml:space="preserve">The most complex aspect of being a</w:t>
      </w:r>
      <w:r>
        <w:t xml:space="preserve"> </w:t>
      </w:r>
      <w:r>
        <w:rPr>
          <w:bCs/>
          <w:b/>
        </w:rPr>
        <w:t xml:space="preserve">Banker</w:t>
      </w:r>
      <w:r>
        <w:t xml:space="preserve"> </w:t>
      </w:r>
      <w:r>
        <w:t xml:space="preserve">in this context is navigating the labyrinth of international sanctions. For our</w:t>
      </w:r>
      <w:r>
        <w:t xml:space="preserve"> </w:t>
      </w:r>
      <w:r>
        <w:rPr>
          <w:bCs/>
          <w:b/>
        </w:rPr>
        <w:t xml:space="preserve">Seminar Presentation Slides</w:t>
      </w:r>
      <w:r>
        <w:t xml:space="preserve">, this section is critical. Compliance officers and risk managers in Caracas must operate with extreme precision to avoid secondary sanctions while maintaining access to the global financial system.</w:t>
      </w:r>
    </w:p>
    <w:p>
      <w:pPr>
        <w:numPr>
          <w:ilvl w:val="0"/>
          <w:numId w:val="1003"/>
        </w:numPr>
        <w:pStyle w:val="Compact"/>
      </w:pPr>
      <w:r>
        <w:rPr>
          <w:bCs/>
          <w:b/>
        </w:rPr>
        <w:t xml:space="preserve">KYC/AML Protocols:</w:t>
      </w:r>
      <w:r>
        <w:t xml:space="preserve"> </w:t>
      </w:r>
      <w:r>
        <w:t xml:space="preserve">Know Your Customer (KYC) and Anti-Money Laundering (AML) protocols are under intense scrutiny. Bankers must implement enhanced due diligence processes that satisfy both local regulations and international expectations.</w:t>
      </w:r>
    </w:p>
    <w:p>
      <w:pPr>
        <w:numPr>
          <w:ilvl w:val="0"/>
          <w:numId w:val="1003"/>
        </w:numPr>
        <w:pStyle w:val="Compact"/>
      </w:pPr>
      <w:r>
        <w:rPr>
          <w:bCs/>
          <w:b/>
        </w:rPr>
        <w:t xml:space="preserve">CORRESPONDENT RELATIONSHIPS:</w:t>
      </w:r>
      <w:r>
        <w:t xml:space="preserve"> </w:t>
      </w:r>
      <w:r>
        <w:t xml:space="preserve">Maintaining relationships with foreign correspondent banks is difficult. When they do exist, the cost of compliance is high. Local bankers must constantly renegotiate terms to ensure that remittances from Venezuelans abroad can still reach families in</w:t>
      </w:r>
      <w:r>
        <w:t xml:space="preserve"> </w:t>
      </w:r>
      <w:r>
        <w:rPr>
          <w:bCs/>
          <w:b/>
        </w:rPr>
        <w:t xml:space="preserve">Venezuela Caracas</w:t>
      </w:r>
      <w:r>
        <w:t xml:space="preserve">.</w:t>
      </w:r>
    </w:p>
    <w:p>
      <w:pPr>
        <w:numPr>
          <w:ilvl w:val="0"/>
          <w:numId w:val="1003"/>
        </w:numPr>
        <w:pStyle w:val="Compact"/>
      </w:pPr>
      <w:r>
        <w:rPr>
          <w:bCs/>
          <w:b/>
        </w:rPr>
        <w:t xml:space="preserve">Economic Intelligence:</w:t>
      </w:r>
      <w:r>
        <w:t xml:space="preserve"> </w:t>
      </w:r>
      <w:r>
        <w:t xml:space="preserve">Data analytics are used not just for fraud detection, but for political and economic forecasting. Understanding the pulse of the government's economic policy is as important as understanding credit scores.</w:t>
      </w:r>
    </w:p>
    <w:bookmarkEnd w:id="25"/>
    <w:bookmarkStart w:id="26" w:name="the-social-responsibility-of-the-banker"/>
    <w:p>
      <w:pPr>
        <w:pStyle w:val="Heading2"/>
      </w:pPr>
      <w:r>
        <w:t xml:space="preserve">The Social Responsibility of the Banker</w:t>
      </w:r>
    </w:p>
    <w:p>
      <w:pPr>
        <w:pStyle w:val="FirstParagraph"/>
      </w:pPr>
      <w:r>
        <w:t xml:space="preserve">Banking in</w:t>
      </w:r>
      <w:r>
        <w:t xml:space="preserve"> </w:t>
      </w:r>
      <w:r>
        <w:rPr>
          <w:bCs/>
          <w:b/>
        </w:rPr>
        <w:t xml:space="preserve">Venezuela Caracas</w:t>
      </w:r>
      <w:r>
        <w:t xml:space="preserve"> </w:t>
      </w:r>
      <w:r>
        <w:t xml:space="preserve">is not just about profit; it is a social necessity. With high inflation eroding savings, banks play a pivotal role in preserving wealth for their clients. The ethical dimension of the</w:t>
      </w:r>
      <w:r>
        <w:t xml:space="preserve"> </w:t>
      </w:r>
      <w:r>
        <w:rPr>
          <w:bCs/>
          <w:b/>
        </w:rPr>
        <w:t xml:space="preserve">Banker’s</w:t>
      </w:r>
      <w:r>
        <w:t xml:space="preserve"> </w:t>
      </w:r>
      <w:r>
        <w:t xml:space="preserve">role here cannot be overstated.</w:t>
      </w:r>
    </w:p>
    <w:p>
      <w:pPr>
        <w:pStyle w:val="BodyText"/>
      </w:pPr>
      <w:r>
        <w:t xml:space="preserve">Banks are increasingly involved in financial literacy programs to help citizens protect their assets from devaluation. Furthermore, there is a growing trend of "impact banking," where financial institutions prioritize lending to small and medium-sized enterprises (SMEs) that keep the local economy alive during periods of recession. This community-centric approach builds trust, which is perhaps the most valuable currency in</w:t>
      </w:r>
      <w:r>
        <w:t xml:space="preserve"> </w:t>
      </w:r>
      <w:r>
        <w:rPr>
          <w:bCs/>
          <w:b/>
        </w:rPr>
        <w:t xml:space="preserve">Venezuela Caracas</w:t>
      </w:r>
      <w:r>
        <w:t xml:space="preserve">.</w:t>
      </w:r>
    </w:p>
    <w:p>
      <w:pPr>
        <w:pStyle w:val="BodyText"/>
      </w:pPr>
      <w:r>
        <w:t xml:space="preserve">Trust is fragile. A single breach of data or a failure to deliver promised services can lead to rapid bank runs. Therefore, transparency and communication are key responsibilities for every banker in this seminar context.</w:t>
      </w:r>
    </w:p>
    <w:bookmarkEnd w:id="26"/>
    <w:bookmarkStart w:id="27" w:name="talent-retention-and-brain-drain"/>
    <w:p>
      <w:pPr>
        <w:pStyle w:val="Heading2"/>
      </w:pPr>
      <w:r>
        <w:t xml:space="preserve">Talent Retention and Brain Drain</w:t>
      </w:r>
    </w:p>
    <w:p>
      <w:pPr>
        <w:pStyle w:val="FirstParagraph"/>
      </w:pPr>
      <w:r>
        <w:t xml:space="preserve">A critical challenge for the banking sector in</w:t>
      </w:r>
      <w:r>
        <w:t xml:space="preserve"> </w:t>
      </w:r>
      <w:r>
        <w:rPr>
          <w:bCs/>
          <w:b/>
        </w:rPr>
        <w:t xml:space="preserve">Venezuela Caracas</w:t>
      </w:r>
      <w:r>
        <w:t xml:space="preserve"> </w:t>
      </w:r>
      <w:r>
        <w:t xml:space="preserve">is human capital. The economic crisis has triggered a massive exodus of skilled professionals. Many of the most experienced bankers, analysts, and IT specialists have emigrated in search of stability abroad.</w:t>
      </w:r>
    </w:p>
    <w:p>
      <w:pPr>
        <w:numPr>
          <w:ilvl w:val="0"/>
          <w:numId w:val="1004"/>
        </w:numPr>
        <w:pStyle w:val="Compact"/>
      </w:pPr>
      <w:r>
        <w:rPr>
          <w:bCs/>
          <w:b/>
        </w:rPr>
        <w:t xml:space="preserve">Recruitment Strategies:</w:t>
      </w:r>
      <w:r>
        <w:t xml:space="preserve"> </w:t>
      </w:r>
      <w:r>
        <w:t xml:space="preserve">Banks must offer competitive packages that include non-monetary benefits, such as remote work opportunities with foreign entities or housing assistance, to retain top talent.</w:t>
      </w:r>
    </w:p>
    <w:p>
      <w:pPr>
        <w:numPr>
          <w:ilvl w:val="0"/>
          <w:numId w:val="1004"/>
        </w:numPr>
        <w:pStyle w:val="Compact"/>
      </w:pPr>
      <w:r>
        <w:rPr>
          <w:bCs/>
          <w:b/>
        </w:rPr>
        <w:t xml:space="preserve">Training and Development:</w:t>
      </w:r>
      <w:r>
        <w:br/>
      </w:r>
      <w:r>
        <w:t xml:space="preserve">With experienced staff leaving, there is an urgent need for upskilling younger professionals.</w:t>
      </w:r>
      <w:r>
        <w:t xml:space="preserve"> </w:t>
      </w:r>
      <w:r>
        <w:rPr>
          <w:iCs/>
          <w:i/>
        </w:rPr>
        <w:t xml:space="preserve">Seminar Presentation Slides</w:t>
      </w:r>
      <w:r>
        <w:t xml:space="preserve"> </w:t>
      </w:r>
      <w:r>
        <w:t xml:space="preserve">should highlight the importance of internal academies within banks that train young Venezuelans in modern financial technologies and compliance.</w:t>
      </w:r>
    </w:p>
    <w:p>
      <w:pPr>
        <w:numPr>
          <w:ilvl w:val="0"/>
          <w:numId w:val="1004"/>
        </w:numPr>
        <w:pStyle w:val="Compact"/>
      </w:pPr>
      <w:r>
        <w:rPr>
          <w:bCs/>
          <w:b/>
        </w:rPr>
        <w:t xml:space="preserve">Cultural Resilience:</w:t>
      </w:r>
      <w:r>
        <w:t xml:space="preserve">The remaining workforce demonstrates remarkable resilience. Understanding this cultural context is essential for any external analyst or investor looking at the</w:t>
      </w:r>
      <w:r>
        <w:t xml:space="preserve"> </w:t>
      </w:r>
      <w:r>
        <w:rPr>
          <w:bCs/>
          <w:b/>
        </w:rPr>
        <w:t xml:space="preserve">Venezuela Caracas</w:t>
      </w:r>
      <w:r>
        <w:t xml:space="preserve"> </w:t>
      </w:r>
      <w:r>
        <w:t xml:space="preserve">banking sector.</w:t>
      </w:r>
    </w:p>
    <w:bookmarkEnd w:id="27"/>
    <w:bookmarkStart w:id="28" w:name="Xdf78b648d37e9323c218596de7dd64310e2d584"/>
    <w:p>
      <w:pPr>
        <w:pStyle w:val="Heading2"/>
      </w:pPr>
      <w:r>
        <w:t xml:space="preserve">The Future Outlook: Adaptation and Innovation</w:t>
      </w:r>
    </w:p>
    <w:p>
      <w:pPr>
        <w:pStyle w:val="FirstParagraph"/>
      </w:pPr>
      <w:r>
        <w:t xml:space="preserve">If there is one lesson from the current crisis in</w:t>
      </w:r>
      <w:r>
        <w:t xml:space="preserve"> </w:t>
      </w:r>
      <w:r>
        <w:rPr>
          <w:bCs/>
          <w:b/>
        </w:rPr>
        <w:t xml:space="preserve">Venezuela Caracas</w:t>
      </w:r>
      <w:r>
        <w:t xml:space="preserve">, it is that adaptation is the only constant. The future of banking here will likely be characterized by further digitalization, deeper integration with regional partners (such as Colombia and Panama), and a continued reliance on dollarized transactions.</w:t>
      </w:r>
    </w:p>
    <w:p>
      <w:pPr>
        <w:pStyle w:val="BodyText"/>
      </w:pPr>
      <w:r>
        <w:t xml:space="preserve">The modern</w:t>
      </w:r>
      <w:r>
        <w:t xml:space="preserve"> </w:t>
      </w:r>
      <w:r>
        <w:rPr>
          <w:bCs/>
          <w:b/>
        </w:rPr>
        <w:t xml:space="preserve">Banker</w:t>
      </w:r>
      <w:r>
        <w:t xml:space="preserve"> </w:t>
      </w:r>
      <w:r>
        <w:t xml:space="preserve">must be agile, tech-savvy, and deeply empathetic to the struggles of their clients. They are no longer just custodians of money; they are advisors on survival, navigators of regulatory minefields, and architects of financial resilience in a volatile environment.</w:t>
      </w:r>
    </w:p>
    <w:p>
      <w:pPr>
        <w:pStyle w:val="BodyText"/>
      </w:pPr>
      <w:r>
        <w:t xml:space="preserve">As we conclude this seminar presentation, we must recognize that the banking sector in</w:t>
      </w:r>
      <w:r>
        <w:t xml:space="preserve"> </w:t>
      </w:r>
      <w:r>
        <w:rPr>
          <w:bCs/>
          <w:b/>
        </w:rPr>
        <w:t xml:space="preserve">Venezuela Caracas</w:t>
      </w:r>
      <w:r>
        <w:t xml:space="preserve"> </w:t>
      </w:r>
      <w:r>
        <w:t xml:space="preserve">is not failing; it is transforming. It is evolving into a hybrid model that blends traditional trust with cutting-edge technology to serve a population that demands reliability above all else.</w:t>
      </w:r>
    </w:p>
    <w:bookmarkEnd w:id="28"/>
    <w:bookmarkStart w:id="29" w:name="conclusion-and-qa"/>
    <w:p>
      <w:pPr>
        <w:pStyle w:val="Heading2"/>
      </w:pPr>
      <w:r>
        <w:t xml:space="preserve">Conclusion and Q&amp;A</w:t>
      </w:r>
    </w:p>
    <w:p>
      <w:pPr>
        <w:pStyle w:val="FirstParagraph"/>
      </w:pPr>
      <w:r>
        <w:t xml:space="preserve">The role of the</w:t>
      </w:r>
      <w:r>
        <w:t xml:space="preserve"> </w:t>
      </w:r>
      <w:r>
        <w:rPr>
          <w:bCs/>
          <w:b/>
        </w:rPr>
        <w:t xml:space="preserve">Banker</w:t>
      </w:r>
      <w:r>
        <w:t xml:space="preserve"> </w:t>
      </w:r>
      <w:r>
        <w:t xml:space="preserve">in</w:t>
      </w:r>
      <w:r>
        <w:t xml:space="preserve"> </w:t>
      </w:r>
      <w:r>
        <w:rPr>
          <w:bCs/>
          <w:b/>
        </w:rPr>
        <w:t xml:space="preserve">Venezuela Caracas</w:t>
      </w:r>
    </w:p>
    <w:p>
      <w:pPr>
        <w:numPr>
          <w:ilvl w:val="0"/>
          <w:numId w:val="1005"/>
        </w:numPr>
        <w:pStyle w:val="Compact"/>
      </w:pPr>
      <w:r>
        <w:t xml:space="preserve">Summary:We have discussed the historical context, the dual-currency reality, digital transformation, risk management under sanctions social responsibility talent retention and future outlook.</w:t>
      </w:r>
    </w:p>
    <w:p>
      <w:pPr>
        <w:numPr>
          <w:ilvl w:val="0"/>
          <w:numId w:val="1005"/>
        </w:numPr>
        <w:pStyle w:val="Compact"/>
      </w:pPr>
      <w:r>
        <w:rPr>
          <w:bCs/>
          <w:b/>
        </w:rPr>
        <w:t xml:space="preserve">Key Takeaway:</w:t>
      </w:r>
      <w:r>
        <w:t xml:space="preserve">The resilience of the Venezuelan people is mirrored in their financial institutions. The banker’s role is to channel this resilience into sustainable economic growth.</w:t>
      </w:r>
    </w:p>
    <w:p>
      <w:pPr>
        <w:pStyle w:val="FirstParagraph"/>
      </w:pPr>
      <w:r>
        <w:t xml:space="preserve">We now open the floor for questions regarding specific case studies from</w:t>
      </w:r>
      <w:r>
        <w:t xml:space="preserve"> </w:t>
      </w:r>
      <w:r>
        <w:rPr>
          <w:bCs/>
          <w:b/>
        </w:rPr>
        <w:t xml:space="preserve">Venezuela Caracas</w:t>
      </w:r>
      <w:r>
        <w:t xml:space="preserve">, regulatory details, and technological implementations.</w:t>
      </w:r>
    </w:p>
    <w:bookmarkEnd w:id="29"/>
    <w:p>
      <w:pPr>
        <w:pStyle w:val="BodyText"/>
      </w:pPr>
      <w:r>
        <w:rPr>
          <w:iCs/>
          <w:i/>
        </w:rPr>
        <w:t xml:space="preserve">This document is prepared for educational and professional seminar purposes. It highlights the unique economic dynamics of banking in Venezuela Caracas.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Venezuela Caracas</dc:title>
  <dc:creator/>
  <dc:language>en</dc:language>
  <cp:keywords/>
  <dcterms:created xsi:type="dcterms:W3CDTF">2026-07-29T22:34:34Z</dcterms:created>
  <dcterms:modified xsi:type="dcterms:W3CDTF">2026-07-29T22:34:34Z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