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39" w:name="seminar-presentation-slides"/>
    <w:p>
      <w:pPr>
        <w:pStyle w:val="Heading1"/>
      </w:pPr>
      <w:r>
        <w:t xml:space="preserve">Seminar Presentation Slides</w:t>
      </w:r>
    </w:p>
    <w:bookmarkStart w:id="38" w:name="X49748f5d87d678de3ba5e8d23ad92cea332e83e"/>
    <w:p>
      <w:pPr>
        <w:pStyle w:val="Heading2"/>
      </w:pPr>
      <w:r>
        <w:t xml:space="preserve">The Role and Future of the Biomedical Engineer in Morocco Casablanca</w:t>
      </w:r>
    </w:p>
    <w:p>
      <w:pPr>
        <w:pStyle w:val="FirstParagraph"/>
      </w:pPr>
      <w:r>
        <w:rPr>
          <w:iCs/>
          <w:i/>
        </w:rPr>
        <w:t xml:space="preserve">A Strategic Seminar on Healthcare Innovation, Technical Maintenance, and Medical Technology Development</w:t>
      </w:r>
    </w:p>
    <w:p>
      <w:r>
        <w:pict>
          <v:rect style="width:0;height:1.5pt" o:hralign="center" o:hrstd="t" o:hr="t"/>
        </w:pict>
      </w:r>
    </w:p>
    <w:bookmarkStart w:id="37" w:name="slide-1"/>
    <w:bookmarkStart w:id="20" w:name="slide-1-introduction-agenda"/>
    <w:p>
      <w:pPr>
        <w:pStyle w:val="Heading3"/>
      </w:pPr>
      <w:r>
        <w:t xml:space="preserve">Slide 1: Introduction &amp; Agenda</w:t>
      </w:r>
    </w:p>
    <w:p>
      <w:pPr>
        <w:pStyle w:val="FirstParagraph"/>
      </w:pPr>
      <w:r>
        <w:rPr>
          <w:bCs/>
          <w:b/>
        </w:rPr>
        <w:t xml:space="preserve">Welcome and Context Setting:</w:t>
      </w:r>
    </w:p>
    <w:p>
      <w:pPr>
        <w:numPr>
          <w:ilvl w:val="0"/>
          <w:numId w:val="1001"/>
        </w:numPr>
        <w:pStyle w:val="Compact"/>
      </w:pPr>
      <w:r>
        <w:t xml:space="preserve">Welcome to this comprehensive seminar presentation dedicated to the dynamic field of Biomedical Engineering.</w:t>
      </w:r>
    </w:p>
    <w:p>
      <w:pPr>
        <w:numPr>
          <w:ilvl w:val="0"/>
          <w:numId w:val="1001"/>
        </w:numPr>
        <w:pStyle w:val="Compact"/>
      </w:pPr>
      <w:r>
        <w:t xml:space="preserve">In today’s rapidly evolving healthcare landscape, the intersection of engineering precision and medical science is more critical than ever before.</w:t>
      </w:r>
    </w:p>
    <w:p>
      <w:pPr>
        <w:numPr>
          <w:ilvl w:val="0"/>
          <w:numId w:val="1001"/>
        </w:numPr>
        <w:pStyle w:val="Compact"/>
      </w:pPr>
      <w:r>
        <w:t xml:space="preserve">This presentation will focus specifically on the unique ecosystem of</w:t>
      </w:r>
      <w:r>
        <w:t xml:space="preserve"> </w:t>
      </w:r>
      <w:r>
        <w:rPr>
          <w:bCs/>
          <w:b/>
        </w:rPr>
        <w:t xml:space="preserve">Morocco Casablanca</w:t>
      </w:r>
      <w:r>
        <w:t xml:space="preserve">, exploring how biomedical engineers are transforming healthcare delivery in one of North Africa’s most vibrant economic hubs.</w:t>
      </w:r>
    </w:p>
    <w:p>
      <w:pPr>
        <w:numPr>
          <w:ilvl w:val="0"/>
          <w:numId w:val="1001"/>
        </w:numPr>
        <w:pStyle w:val="Compact"/>
      </w:pPr>
      <w:r>
        <w:t xml:space="preserve">The agenda includes: defining the biomedical engineer’s role, analyzing the current state of medical technology infrastructure in Casablanca, discussing regulatory frameworks, exploring opportunities for local innovation, and outlining strategic recommendations for stakeholders including government bodies, private hospitals (such as those along Boulevard Zerktouni), academic institutions (like Hassan II University), and private industry partners.</w:t>
      </w:r>
    </w:p>
    <w:p>
      <w:r>
        <w:pict>
          <v:rect style="width:0;height:1.5pt" o:hralign="center" o:hrstd="t" o:hr="t"/>
        </w:pict>
      </w:r>
    </w:p>
    <w:bookmarkEnd w:id="20"/>
    <w:bookmarkStart w:id="36" w:name="slide-2"/>
    <w:bookmarkStart w:id="21" w:name="slide-2-defining-the-biomedical-engineer"/>
    <w:p>
      <w:pPr>
        <w:pStyle w:val="Heading3"/>
      </w:pPr>
      <w:r>
        <w:t xml:space="preserve">Slide 2: Defining the Biomedical Engineer</w:t>
      </w:r>
    </w:p>
    <w:p>
      <w:pPr>
        <w:pStyle w:val="FirstParagraph"/>
      </w:pPr>
      <w:r>
        <w:rPr>
          <w:bCs/>
          <w:b/>
        </w:rPr>
        <w:t xml:space="preserve">The Professional Profile:</w:t>
      </w:r>
    </w:p>
    <w:p>
      <w:pPr>
        <w:pStyle w:val="BodyText"/>
      </w:pPr>
      <w:r>
        <w:t xml:space="preserve">A biomedical engineer is a multidisciplinary professional who applies engineering principles and design concepts to medicine and biology for healthcare purposes. Their expertise spans electronics, computer science, software engineering, mechanical design, materials science, and biomechanics.</w:t>
      </w:r>
    </w:p>
    <w:p>
      <w:pPr>
        <w:pStyle w:val="BodyText"/>
      </w:pPr>
      <w:r>
        <w:t xml:space="preserve">In the context of</w:t>
      </w:r>
      <w:r>
        <w:t xml:space="preserve"> </w:t>
      </w:r>
      <w:r>
        <w:rPr>
          <w:bCs/>
          <w:b/>
        </w:rPr>
        <w:t xml:space="preserve">Morocco Casablanca</w:t>
      </w:r>
      <w:r>
        <w:t xml:space="preserve">, the biomedical engineer plays a pivotal role in ensuring that advanced medical devices—from MRI machines to portable ultrasound units—are not only acquired but are also effectively maintained, calibrated, and utilized by healthcare professionals. They act as the crucial bridge between clinical needs and technological capabilities.</w:t>
      </w:r>
    </w:p>
    <w:p>
      <w:pPr>
        <w:pStyle w:val="BodyText"/>
      </w:pPr>
      <w:r>
        <w:t xml:space="preserve">Their responsibilities include:</w:t>
      </w:r>
    </w:p>
    <w:p>
      <w:pPr>
        <w:numPr>
          <w:ilvl w:val="0"/>
          <w:numId w:val="1002"/>
        </w:numPr>
        <w:pStyle w:val="Compact"/>
      </w:pPr>
      <w:r>
        <w:t xml:space="preserve">Preventive and corrective maintenance of medical equipment.</w:t>
      </w:r>
    </w:p>
    <w:p>
      <w:r>
        <w:pict>
          <v:rect style="width:0;height:1.5pt" o:hralign="center" o:hrstd="t" o:hr="t"/>
        </w:pict>
      </w:r>
    </w:p>
    <w:bookmarkEnd w:id="21"/>
    <w:bookmarkStart w:id="35" w:name="slide-3"/>
    <w:bookmarkStart w:id="22" w:name="X9dab1dabf08bcfb3c17bfc93d46c56e2cb075dd"/>
    <w:p>
      <w:pPr>
        <w:pStyle w:val="Heading3"/>
      </w:pPr>
      <w:r>
        <w:t xml:space="preserve">Slide 4: The Healthcare Landscape in Casablanca</w:t>
      </w:r>
    </w:p>
    <w:p>
      <w:pPr>
        <w:pStyle w:val="FirstParagraph"/>
      </w:pPr>
      <w:r>
        <w:t xml:space="preserve">A detailed analysis of the public and private sectors:</w:t>
      </w:r>
    </w:p>
    <w:p>
      <w:pPr>
        <w:numPr>
          <w:ilvl w:val="0"/>
          <w:numId w:val="1003"/>
        </w:numPr>
        <w:pStyle w:val="Compact"/>
      </w:pPr>
      <w:r>
        <w:t xml:space="preserve">Casablanca serves as Morocco’s industrial and financial capital, hosting major hospital complexes such as CHU Ibn Rochd (a primary reference center for specialized care), Hôpital Cheikh Zaid, and numerous private clinics like Clinique Al Amal or Clinique Badr.</w:t>
      </w:r>
    </w:p>
    <w:p>
      <w:r>
        <w:pict>
          <v:rect style="width:0;height:1.5pt" o:hralign="center" o:hrstd="t" o:hr="t"/>
        </w:pict>
      </w:r>
    </w:p>
    <w:bookmarkEnd w:id="22"/>
    <w:bookmarkStart w:id="34" w:name="slide-4"/>
    <w:bookmarkStart w:id="23" w:name="slide-5-challenges-facing-the-sector"/>
    <w:p>
      <w:pPr>
        <w:pStyle w:val="Heading3"/>
      </w:pPr>
      <w:r>
        <w:t xml:space="preserve">Slide 5: Challenges Facing the Sector</w:t>
      </w:r>
    </w:p>
    <w:p>
      <w:pPr>
        <w:pStyle w:val="FirstParagraph"/>
      </w:pPr>
      <w:r>
        <w:t xml:space="preserve">Identifying critical pain points:</w:t>
      </w:r>
    </w:p>
    <w:p>
      <w:pPr>
        <w:numPr>
          <w:ilvl w:val="0"/>
          <w:numId w:val="1004"/>
        </w:numPr>
        <w:pStyle w:val="Compact"/>
      </w:pPr>
      <w:r>
        <w:t xml:space="preserve">Lack of centralized maintenance databases for public hospitals.</w:t>
      </w:r>
    </w:p>
    <w:p>
      <w:r>
        <w:pict>
          <v:rect style="width:0;height:1.5pt" o:hralign="center" o:hrstd="t" o:hr="t"/>
        </w:pict>
      </w:r>
    </w:p>
    <w:bookmarkEnd w:id="23"/>
    <w:bookmarkStart w:id="33" w:name="slide-5"/>
    <w:bookmarkStart w:id="24" w:name="Xba254701d2fbcf3ae566506e5b22ff95e74b33f"/>
    <w:p>
      <w:pPr>
        <w:pStyle w:val="Heading3"/>
      </w:pPr>
      <w:r>
        <w:t xml:space="preserve">Slide 6: Opportunities for Local Innovation</w:t>
      </w:r>
    </w:p>
    <w:p>
      <w:pPr>
        <w:pStyle w:val="FirstParagraph"/>
      </w:pPr>
      <w:r>
        <w:t xml:space="preserve">Casablanca as an innovation hub:</w:t>
      </w:r>
    </w:p>
    <w:p>
      <w:pPr>
        <w:numPr>
          <w:ilvl w:val="0"/>
          <w:numId w:val="1005"/>
        </w:numPr>
        <w:pStyle w:val="Compact"/>
      </w:pPr>
      <w:r>
        <w:t xml:space="preserve">Leveraging Casablanca’s status as Morocco’s startup ecosystem leader (e.g., initiatives by CTech, Inwi Accelerator) to foster HealthTech solutions tailored for local and regional markets.</w:t>
      </w:r>
    </w:p>
    <w:p>
      <w:r>
        <w:pict>
          <v:rect style="width:0;height:1.5pt" o:hralign="center" o:hrstd="t" o:hr="t"/>
        </w:pict>
      </w:r>
    </w:p>
    <w:bookmarkEnd w:id="24"/>
    <w:bookmarkStart w:id="32" w:name="slide-6"/>
    <w:bookmarkStart w:id="25" w:name="slide-7-strategic-recommendations"/>
    <w:p>
      <w:pPr>
        <w:pStyle w:val="Heading3"/>
      </w:pPr>
      <w:r>
        <w:t xml:space="preserve">Slide 7: Strategic Recommendations</w:t>
      </w:r>
    </w:p>
    <w:p>
      <w:pPr>
        <w:pStyle w:val="FirstParagraph"/>
      </w:pPr>
      <w:r>
        <w:t xml:space="preserve">Actionable steps for stakeholders:</w:t>
      </w:r>
    </w:p>
    <w:p>
      <w:pPr>
        <w:numPr>
          <w:ilvl w:val="0"/>
          <w:numId w:val="1006"/>
        </w:numPr>
        <w:pStyle w:val="Compact"/>
      </w:pPr>
      <w:r>
        <w:t xml:space="preserve">The Ministry of Health should mandate continuous professional development and certification for biomedical engineers within public healthcare facilities.</w:t>
      </w:r>
    </w:p>
    <w:p>
      <w:r>
        <w:pict>
          <v:rect style="width:0;height:1.5pt" o:hralign="center" o:hrstd="t" o:hr="t"/>
        </w:pict>
      </w:r>
    </w:p>
    <w:bookmarkEnd w:id="25"/>
    <w:bookmarkStart w:id="31" w:name="slide-7"/>
    <w:bookmarkStart w:id="26" w:name="slide-8-the-path-forward-conclusion"/>
    <w:p>
      <w:pPr>
        <w:pStyle w:val="Heading3"/>
      </w:pPr>
      <w:r>
        <w:t xml:space="preserve">Slide 8: The Path Forward &amp; Conclusion</w:t>
      </w:r>
    </w:p>
    <w:p>
      <w:pPr>
        <w:pStyle w:val="FirstParagraph"/>
      </w:pPr>
      <w:r>
        <w:t xml:space="preserve">A call to action for sustainable healthcare:</w:t>
      </w:r>
    </w:p>
    <w:p>
      <w:pPr>
        <w:numPr>
          <w:ilvl w:val="0"/>
          <w:numId w:val="1007"/>
        </w:numPr>
        <w:pStyle w:val="Compact"/>
      </w:pPr>
      <w:r>
        <w:t xml:space="preserve">The future of healthcare in Casablanca depends on integrating biomedical engineers not just as technicians, but as strategic partners in clinical decision-making and technology procurement.</w:t>
      </w:r>
    </w:p>
    <w:p>
      <w:r>
        <w:pict>
          <v:rect style="width:0;height:1.5pt" o:hralign="center" o:hrstd="t" o:hr="t"/>
        </w:pict>
      </w:r>
    </w:p>
    <w:bookmarkEnd w:id="26"/>
    <w:bookmarkStart w:id="28" w:name="slide-8"/>
    <w:bookmarkStart w:id="27" w:name="slide-9-qa-session"/>
    <w:p>
      <w:pPr>
        <w:pStyle w:val="Heading3"/>
      </w:pPr>
      <w:r>
        <w:t xml:space="preserve">Slide 9: Q&amp;A Session</w:t>
      </w:r>
    </w:p>
    <w:p>
      <w:pPr>
        <w:pStyle w:val="FirstParagraph"/>
      </w:pPr>
      <w:r>
        <w:t xml:space="preserve">We now invite questions from the audience.</w:t>
      </w:r>
    </w:p>
    <w:p>
      <w:pPr>
        <w:pStyle w:val="BodyText"/>
      </w:pPr>
      <w:r>
        <w:t xml:space="preserve">Please feel free to ask about specific career paths, technical certifications required in Morocco, or details regarding public-private partnerships in the Casablanca medical sector. We look forward to a robust discussion on how we can collectively elevate the standard of care through engineering excellence.</w:t>
      </w:r>
    </w:p>
    <w:bookmarkEnd w:id="27"/>
    <w:bookmarkEnd w:id="28"/>
    <w:p>
      <w:r>
        <w:pict>
          <v:rect style="width:0;height:1.5pt" o:hralign="center" o:hrstd="t" o:hr="t"/>
        </w:pict>
      </w:r>
    </w:p>
    <w:bookmarkStart w:id="30" w:name="slide-9"/>
    <w:bookmarkStart w:id="29" w:name="slide-10-references-further-reading"/>
    <w:p>
      <w:pPr>
        <w:pStyle w:val="Heading3"/>
      </w:pPr>
      <w:r>
        <w:t xml:space="preserve">Slide 10: References &amp; Further Reading</w:t>
      </w:r>
    </w:p>
    <w:p>
      <w:pPr>
        <w:pStyle w:val="FirstParagraph"/>
      </w:pPr>
      <w:r>
        <w:t xml:space="preserve">Sources cited in this presentation:</w:t>
      </w:r>
    </w:p>
    <w:p>
      <w:pPr>
        <w:pStyle w:val="BodyText"/>
      </w:pPr>
      <w:r>
        <w:t xml:space="preserve">Hassan II University Reports on Medical Engineering Education.</w:t>
      </w:r>
    </w:p>
    <w:p>
      <w:pPr>
        <w:pStyle w:val="BodyText"/>
      </w:pPr>
      <w:r>
        <w:t xml:space="preserve">Moroccan Ministry of Health Annual Statistics on Equipment Deployment.</w:t>
      </w:r>
    </w:p>
    <w:p>
      <w:pPr>
        <w:pStyle w:val="BodyText"/>
      </w:pPr>
      <w:r>
        <w:t xml:space="preserve">Casablanca Finance City Authority Guidelines for MedTech Investments.</w:t>
      </w:r>
    </w:p>
    <w:p>
      <w:r>
        <w:pict>
          <v:rect style="width:0;height:1.5pt" o:hralign="center" o:hrstd="t" o:hr="t"/>
        </w:pict>
      </w:r>
    </w:p>
    <w:bookmarkEnd w:id="29"/>
    <w:bookmarkEnd w:id="30"/>
    <w:bookmarkEnd w:id="31"/>
    <w:bookmarkEnd w:id="32"/>
    <w:bookmarkEnd w:id="33"/>
    <w:bookmarkEnd w:id="34"/>
    <w:bookmarkEnd w:id="35"/>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Morocco Casablanca</dc:title>
  <dc:creator/>
  <dc:language>en</dc:language>
  <cp:keywords/>
  <dcterms:created xsi:type="dcterms:W3CDTF">2026-07-29T12:25:00Z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