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Advanced</w:t>
      </w:r>
      <w:r>
        <w:t xml:space="preserve"> </w:t>
      </w:r>
      <w:r>
        <w:t xml:space="preserve">Editorial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Iran</w:t>
      </w:r>
      <w:r>
        <w:t xml:space="preserve"> </w:t>
      </w:r>
      <w:r>
        <w:t xml:space="preserve">Tehran</w:t>
      </w:r>
    </w:p>
    <w:bookmarkStart w:id="20" w:name="X4624f1ed38adaf33aa25fb6f789680b3a7f015b"/>
    <w:p>
      <w:pPr>
        <w:pStyle w:val="Heading1"/>
      </w:pPr>
      <w:r>
        <w:t xml:space="preserve">Seminar Presentation Slides: The Modern Editor in Iran Tehran</w:t>
      </w:r>
    </w:p>
    <w:p>
      <w:pPr>
        <w:pStyle w:val="FirstParagraph"/>
      </w:pPr>
      <w:r>
        <w:t xml:space="preserve">Navigating Cultural Nuances, Linguistic Precision, and Digital Transformation</w:t>
      </w:r>
    </w:p>
    <w:bookmarkEnd w:id="20"/>
    <w:bookmarkStart w:id="21" w:name="Xa84987515c74cdae1573a9dd2ccf7e52ed5fb6c"/>
    <w:p>
      <w:pPr>
        <w:pStyle w:val="Heading1"/>
      </w:pPr>
      <w:r>
        <w:t xml:space="preserve">Seminar Presentation Slides: The Modern Editor in Iran Tehran</w:t>
      </w:r>
    </w:p>
    <w:bookmarkEnd w:id="21"/>
    <w:bookmarkStart w:id="22" w:name="Xc3e65a7e819a692edb01e8a423dcbb377f9df2b"/>
    <w:p>
      <w:pPr>
        <w:pStyle w:val="Heading1"/>
      </w:pPr>
      <w:r>
        <w:t xml:space="preserve">Seminar Presentation Slides: The Modern Editor in Iran Tehran</w:t>
      </w:r>
    </w:p>
    <w:p>
      <w:pPr>
        <w:pStyle w:val="FirstParagraph"/>
      </w:pPr>
      <w:r>
        <w:t xml:space="preserve">Navigating Cultural Nuances, Linguistic Precision, and Digital Transformation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Advanced Editorial Practices in Iran Tehran</dc:title>
  <dc:creator/>
  <dc:language>en</dc:language>
  <cp:keywords/>
  <dcterms:created xsi:type="dcterms:W3CDTF">2026-07-29T09:08:49Z</dcterms:created>
  <dcterms:modified xsi:type="dcterms:W3CDTF">2026-07-29T09:08:49Z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