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seminar-presentation-slides"/>
    <w:p>
      <w:pPr>
        <w:pStyle w:val="Heading1"/>
      </w:pPr>
      <w:r>
        <w:t xml:space="preserve">Seminar Presentation Slides</w:t>
      </w:r>
    </w:p>
    <w:p>
      <w:pPr>
        <w:pStyle w:val="FirstParagraph"/>
      </w:pPr>
      <w:r>
        <w:rPr>
          <w:bCs/>
          <w:b/>
        </w:rPr>
        <w:t xml:space="preserve">Topic:</w:t>
      </w:r>
    </w:p>
    <w:p>
      <w:pPr>
        <w:pStyle w:val="BodyText"/>
      </w:pPr>
      <w:r>
        <w:rPr>
          <w:bCs/>
          <w:b/>
        </w:rPr>
        <w:t xml:space="preserve">Date:</w:t>
      </w:r>
      <w:r>
        <w:t xml:space="preserve">Venue:</w:t>
      </w:r>
    </w:p>
    <w:bookmarkEnd w:id="20"/>
    <w:bookmarkStart w:id="21" w:name="Xbba97538d7341d010e19144d58aad8e74cd7052"/>
    <w:p>
      <w:pPr>
        <w:pStyle w:val="Heading2"/>
      </w:pPr>
      <w:r>
        <w:t xml:space="preserve">Slide 1: Introduction to the Seminar Presentation Slides Context</w:t>
      </w:r>
    </w:p>
    <w:p>
      <w:pPr>
        <w:pStyle w:val="FirstParagraph"/>
      </w:pPr>
      <w:r>
        <w:t xml:space="preserve">Welcome to this comprehensive seminar presentation slides overview. Today, we delve into the intricate and evolving landscape of educational leadership within one of Asia’s most dynamic metropolitan areas. As we embark on this journey, it is crucial to understand that these</w:t>
      </w:r>
      <w:r>
        <w:t xml:space="preserve"> </w:t>
      </w:r>
      <w:r>
        <w:rPr>
          <w:iCs/>
          <w:i/>
        </w:rPr>
        <w:t xml:space="preserve">Seminar Presentation Slides</w:t>
      </w:r>
      <w:r>
        <w:t xml:space="preserve"> </w:t>
      </w:r>
      <w:r>
        <w:t xml:space="preserve">are not merely a collection of bullet points but a strategic roadmap designed for professionals seeking to excel in high-pressure academic environments. The focus is specifically tailored for the unique cultural and bureaucratic nuances found in</w:t>
      </w:r>
      <w:r>
        <w:t xml:space="preserve"> </w:t>
      </w:r>
      <w:r>
        <w:rPr>
          <w:bCs/>
          <w:b/>
        </w:rPr>
        <w:t xml:space="preserve">South Korea Seoul</w:t>
      </w:r>
      <w:r>
        <w:t xml:space="preserve">, where tradition meets rapid technological advancement.</w:t>
      </w:r>
    </w:p>
    <w:p>
      <w:pPr>
        <w:pStyle w:val="BodyText"/>
      </w:pPr>
      <w:r>
        <w:t xml:space="preserve">The objective of this presentation is to equip aspiring and current leaders with the theoretical frameworks and practical tools necessary to navigate the complex ecosystem of Korean education. By examining case studies from major institutions in the capital, we aim to bridge the gap between global best practices in administration and local regulatory requirements.</w:t>
      </w:r>
    </w:p>
    <w:bookmarkEnd w:id="21"/>
    <w:bookmarkStart w:id="22" w:name="Xd981b80e31081f85cc65dd2e4d8b820ee33bb25"/>
    <w:p>
      <w:pPr>
        <w:pStyle w:val="Heading2"/>
      </w:pPr>
      <w:r>
        <w:t xml:space="preserve">Slide 2: The Unique Landscape of Education in South Korea Seoul</w:t>
      </w:r>
    </w:p>
    <w:p>
      <w:pPr>
        <w:pStyle w:val="FirstParagraph"/>
      </w:pPr>
      <w:r>
        <w:t xml:space="preserve">To effectively serve as an administrator, one must first comprehend the environment.</w:t>
      </w:r>
      <w:r>
        <w:t xml:space="preserve"> </w:t>
      </w:r>
      <w:r>
        <w:rPr>
          <w:bCs/>
          <w:b/>
        </w:rPr>
        <w:t xml:space="preserve">South Korea Seoul</w:t>
      </w:r>
      <w:r>
        <w:t xml:space="preserve"> </w:t>
      </w:r>
      <w:r>
        <w:t xml:space="preserve">is characterized by an intense competitive academic culture known as "Suneung" (the College Scholastic Ability Test). This high-stakes testing environment places immense pressure on school administrators to deliver results while simultaneously fostering holistic student development.</w:t>
      </w:r>
    </w:p>
    <w:p>
      <w:pPr>
        <w:numPr>
          <w:ilvl w:val="0"/>
          <w:numId w:val="1001"/>
        </w:numPr>
        <w:pStyle w:val="Compact"/>
      </w:pPr>
      <w:r>
        <w:rPr>
          <w:bCs/>
          <w:b/>
        </w:rPr>
        <w:t xml:space="preserve">Density and Demand:</w:t>
      </w:r>
    </w:p>
    <w:p>
      <w:pPr>
        <w:numPr>
          <w:ilvl w:val="0"/>
          <w:numId w:val="1001"/>
        </w:numPr>
        <w:pStyle w:val="Compact"/>
      </w:pPr>
      <w:r>
        <w:rPr>
          <w:bCs/>
          <w:b/>
        </w:rPr>
        <w:t xml:space="preserve">Digital Infrastructure:</w:t>
      </w:r>
    </w:p>
    <w:p>
      <w:pPr>
        <w:numPr>
          <w:ilvl w:val="0"/>
          <w:numId w:val="1001"/>
        </w:numPr>
        <w:pStyle w:val="Compact"/>
      </w:pPr>
      <w:r>
        <w:rPr>
          <w:bCs/>
          <w:b/>
        </w:rPr>
        <w:t xml:space="preserve">Cultural Expectations:</w:t>
      </w:r>
    </w:p>
    <w:bookmarkEnd w:id="22"/>
    <w:bookmarkStart w:id="23" w:name="Xe28953e28251db7ae047bd4d33995dddebc11b9"/>
    <w:p>
      <w:pPr>
        <w:pStyle w:val="Heading2"/>
      </w:pPr>
      <w:r>
        <w:t xml:space="preserve">Slide 3: Defining the Modern Education Administrator</w:t>
      </w:r>
    </w:p>
    <w:p>
      <w:pPr>
        <w:pStyle w:val="FirstParagraph"/>
      </w:pPr>
      <w:r>
        <w:t xml:space="preserve">The role of the</w:t>
      </w:r>
      <w:r>
        <w:t xml:space="preserve"> </w:t>
      </w:r>
      <w:r>
        <w:rPr>
          <w:bCs/>
          <w:b/>
        </w:rPr>
        <w:t xml:space="preserve">Education Administrator</w:t>
      </w:r>
      <w:r>
        <w:rPr>
          <w:iCs/>
          <w:i/>
        </w:rPr>
        <w:t xml:space="preserve">s</w:t>
      </w:r>
    </w:p>
    <w:p>
      <w:pPr>
        <w:numPr>
          <w:ilvl w:val="0"/>
          <w:numId w:val="1002"/>
        </w:numPr>
        <w:pStyle w:val="Compact"/>
      </w:pPr>
      <w:r>
        <w:rPr>
          <w:bCs/>
          <w:b/>
        </w:rPr>
        <w:t xml:space="preserve">Budgetary Stewardship:</w:t>
      </w:r>
    </w:p>
    <w:p>
      <w:pPr>
        <w:numPr>
          <w:ilvl w:val="0"/>
          <w:numId w:val="1002"/>
        </w:numPr>
        <w:pStyle w:val="Compact"/>
      </w:pPr>
      <w:r>
        <w:rPr>
          <w:bCs/>
          <w:b/>
        </w:rPr>
        <w:t xml:space="preserve">Crisis Management:</w:t>
      </w:r>
    </w:p>
    <w:p>
      <w:pPr>
        <w:numPr>
          <w:ilvl w:val="0"/>
          <w:numId w:val="1002"/>
        </w:numPr>
        <w:pStyle w:val="Compact"/>
      </w:pPr>
      <w:r>
        <w:rPr>
          <w:bCs/>
          <w:b/>
        </w:rPr>
        <w:t xml:space="preserve">Holistic Student Welfare:</w:t>
      </w:r>
    </w:p>
    <w:bookmarkEnd w:id="23"/>
    <w:bookmarkStart w:id="24" w:name="X46f3e848e65d581acd84595a597f55ef9ca79d0"/>
    <w:p>
      <w:pPr>
        <w:pStyle w:val="Heading2"/>
      </w:pPr>
      <w:r>
        <w:t xml:space="preserve">Slide 4: Strategic Planning and Policy Implementation</w:t>
      </w:r>
    </w:p>
    <w:p>
      <w:pPr>
        <w:pStyle w:val="FirstParagraph"/>
      </w:pPr>
      <w:r>
        <w:t xml:space="preserve">In this section of our</w:t>
      </w:r>
      <w:r>
        <w:t xml:space="preserve"> </w:t>
      </w:r>
      <w:r>
        <w:rPr>
          <w:iCs/>
          <w:i/>
        </w:rPr>
        <w:t xml:space="preserve">Seminar Presentation Slides</w:t>
      </w:r>
      <w:r>
        <w:t xml:space="preserve">, we examine how strategic plans are formulated. In Seoul, education policy is often influenced heavily by the Ministry of Education but implemented with local discretion by the Seoul Metropolitan Office of Education (SMOE).</w:t>
      </w:r>
    </w:p>
    <w:p>
      <w:pPr>
        <w:pStyle w:val="BodyText"/>
      </w:pPr>
      <w:r>
        <w:t xml:space="preserve">An effective administrator must be adept at translating national policies into actionable school-level strategies. This involves:</w:t>
      </w:r>
    </w:p>
    <w:p>
      <w:pPr>
        <w:numPr>
          <w:ilvl w:val="0"/>
          <w:numId w:val="1003"/>
        </w:numPr>
        <w:pStyle w:val="Compact"/>
      </w:pPr>
      <w:r>
        <w:rPr>
          <w:bCs/>
          <w:b/>
        </w:rPr>
        <w:t xml:space="preserve">Data-Driven Decision Making:</w:t>
      </w:r>
    </w:p>
    <w:p>
      <w:pPr>
        <w:numPr>
          <w:ilvl w:val="0"/>
          <w:numId w:val="1003"/>
        </w:numPr>
        <w:pStyle w:val="Compact"/>
      </w:pPr>
      <w:r>
        <w:rPr>
          <w:bCs/>
          <w:b/>
        </w:rPr>
        <w:t xml:space="preserve">Cultural Competency:</w:t>
      </w:r>
    </w:p>
    <w:bookmarkEnd w:id="24"/>
    <w:bookmarkStart w:id="25" w:name="X6d6bb7f36745fbf32f924124ee32a8e20e15ba5"/>
    <w:p>
      <w:pPr>
        <w:pStyle w:val="Heading2"/>
      </w:pPr>
      <w:r>
        <w:t xml:space="preserve">Slide 5: Human Resource Management in a High-Pressure Environment</w:t>
      </w:r>
    </w:p>
    <w:p>
      <w:pPr>
        <w:pStyle w:val="FirstParagraph"/>
      </w:pPr>
      <w:r>
        <w:t xml:space="preserve">The success of any educational institution hinges on its faculty. In the competitive landscape of Seoul, attracting and retaining top-tier teaching talent is a primary challenge for the Education Administrator.</w:t>
      </w:r>
    </w:p>
    <w:p>
      <w:pPr>
        <w:numPr>
          <w:ilvl w:val="0"/>
          <w:numId w:val="1004"/>
        </w:numPr>
        <w:pStyle w:val="Compact"/>
      </w:pPr>
      <w:r>
        <w:rPr>
          <w:bCs/>
          <w:b/>
        </w:rPr>
        <w:t xml:space="preserve">Talent Acquisition:</w:t>
      </w:r>
    </w:p>
    <w:p>
      <w:pPr>
        <w:numPr>
          <w:ilvl w:val="0"/>
          <w:numId w:val="1004"/>
        </w:numPr>
        <w:pStyle w:val="Compact"/>
      </w:pPr>
      <w:r>
        <w:rPr>
          <w:bCs/>
          <w:b/>
        </w:rPr>
        <w:t xml:space="preserve">Fatigue Management:</w:t>
      </w:r>
    </w:p>
    <w:p>
      <w:pPr>
        <w:numPr>
          <w:ilvl w:val="0"/>
          <w:numId w:val="1004"/>
        </w:numPr>
        <w:pStyle w:val="Compact"/>
      </w:pPr>
      <w:r>
        <w:rPr>
          <w:bCs/>
          <w:b/>
        </w:rPr>
        <w:t xml:space="preserve">Professional Development:</w:t>
      </w:r>
    </w:p>
    <w:bookmarkEnd w:id="25"/>
    <w:bookmarkStart w:id="26" w:name="X5f712011813e4323860d651cc3b672f5af9b450"/>
    <w:p>
      <w:pPr>
        <w:pStyle w:val="Heading2"/>
      </w:pPr>
      <w:r>
        <w:t xml:space="preserve">Slide 6: Community Engagement and Stakeholder Relations</w:t>
      </w:r>
    </w:p>
    <w:p>
      <w:pPr>
        <w:pStyle w:val="FirstParagraph"/>
      </w:pPr>
      <w:r>
        <w:t xml:space="preserve">In Korea, the concept of "Jeong" (emotional connection/attachment) is vital in community relations. An Education Administrator cannot operate in a silo. They must actively engage with parents, local businesses, and government officials.</w:t>
      </w:r>
    </w:p>
    <w:p>
      <w:pPr>
        <w:numPr>
          <w:ilvl w:val="0"/>
          <w:numId w:val="1005"/>
        </w:numPr>
        <w:pStyle w:val="Compact"/>
      </w:pPr>
      <w:r>
        <w:rPr>
          <w:bCs/>
          <w:b/>
        </w:rPr>
        <w:t xml:space="preserve">Parental Involvement:</w:t>
      </w:r>
    </w:p>
    <w:p>
      <w:pPr>
        <w:numPr>
          <w:ilvl w:val="0"/>
          <w:numId w:val="1005"/>
        </w:numPr>
        <w:pStyle w:val="Compact"/>
      </w:pPr>
      <w:r>
        <w:rPr>
          <w:bCs/>
          <w:b/>
        </w:rPr>
        <w:t xml:space="preserve">Corporate Partnerships:</w:t>
      </w:r>
    </w:p>
    <w:bookmarkEnd w:id="26"/>
    <w:bookmarkStart w:id="27" w:name="Xe2d8f0abb236f9a92c5cd332b900dae1d85bcb7"/>
    <w:p>
      <w:pPr>
        <w:pStyle w:val="Heading2"/>
      </w:pPr>
      <w:r>
        <w:t xml:space="preserve">Slide 7: Technological Integration and Innovation</w:t>
      </w:r>
    </w:p>
    <w:p>
      <w:pPr>
        <w:pStyle w:val="FirstParagraph"/>
      </w:pPr>
      <w:r>
        <w:t xml:space="preserve">We cannot discuss education in Seoul without addressing technology. The city’s infrastructure allows for cutting-edge educational tools to be deployed rapidly. The Education Administrator must be tech-savvy enough to oversee digital transformation.</w:t>
      </w:r>
    </w:p>
    <w:p>
      <w:pPr>
        <w:numPr>
          <w:ilvl w:val="0"/>
          <w:numId w:val="1006"/>
        </w:numPr>
        <w:pStyle w:val="Compact"/>
      </w:pPr>
      <w:r>
        <w:rPr>
          <w:bCs/>
          <w:b/>
        </w:rPr>
        <w:t xml:space="preserve">AI and Big Data:</w:t>
      </w:r>
    </w:p>
    <w:p>
      <w:pPr>
        <w:numPr>
          <w:ilvl w:val="0"/>
          <w:numId w:val="1006"/>
        </w:numPr>
        <w:pStyle w:val="Compact"/>
      </w:pPr>
      <w:r>
        <w:t xml:space="preserve">E-Learning Hybrid Models:The pandemic accelerated the adoption of hybrid learning. Maintaining high-quality remote education infrastructure is now a core administrative responsibility.</w:t>
      </w:r>
    </w:p>
    <w:bookmarkEnd w:id="27"/>
    <w:bookmarkStart w:id="28" w:name="slide-8-conclusion-and-future-outlook"/>
    <w:p>
      <w:pPr>
        <w:pStyle w:val="Heading2"/>
      </w:pPr>
      <w:r>
        <w:t xml:space="preserve">Slide 8: Conclusion and Future Outlook</w:t>
      </w:r>
    </w:p>
    <w:p>
      <w:pPr>
        <w:pStyle w:val="FirstParagraph"/>
      </w:pPr>
      <w:r>
        <w:t xml:space="preserve">To conclude these seminar presentation slides, we reaffirm that becoming a successful Education Administrator in South Korea Seoul requires a multifaceted skill set. It demands a blend of traditional leadership virtues—integrity, humility, and discipline—with modern competencies such as digital literacy, crisis management, and multicultural sensitivity.</w:t>
      </w:r>
    </w:p>
    <w:p>
      <w:pPr>
        <w:pStyle w:val="BodyText"/>
      </w:pPr>
      <w:r>
        <w:t xml:space="preserve">The future of education in the capital is bright but challenging. As global competitiveness intensifies, administrators will be called upon to not only maintain standards but to innovate continuously. We encourage all participants in this seminar to embrace these challenges with resilience and vision.</w:t>
      </w:r>
    </w:p>
    <w:bookmarkEnd w:id="28"/>
    <w:bookmarkStart w:id="29" w:name="slide-9-qa-session"/>
    <w:p>
      <w:pPr>
        <w:pStyle w:val="Heading2"/>
      </w:pPr>
      <w:r>
        <w:t xml:space="preserve">Slide 9: Q&amp;A Session</w:t>
      </w:r>
    </w:p>
    <w:p>
      <w:pPr>
        <w:pStyle w:val="FirstParagraph"/>
      </w:pPr>
      <w:r>
        <w:t xml:space="preserve">We now open the floor for questions regarding the role of the Education Administrator, specific challenges in South Korea Seoul, or strategies presented in these seminar presentation slides.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South Korea Seoul</dc:title>
  <dc:creator/>
  <dc:language>en</dc:language>
  <cp:keywords/>
  <dcterms:created xsi:type="dcterms:W3CDTF">2026-07-29T16:21:13Z</dcterms:created>
  <dcterms:modified xsi:type="dcterms:W3CDTF">2026-07-29T16:21:13Z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