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Kuwait</w:t>
      </w:r>
      <w:r>
        <w:t xml:space="preserve"> </w:t>
      </w:r>
      <w:r>
        <w:t xml:space="preserve">City</w:t>
      </w:r>
    </w:p>
    <w:bookmarkStart w:id="21" w:name="Xc734c7801e642c29f9ea45cc9d3d4f1c0f337e9"/>
    <w:p>
      <w:pPr>
        <w:pStyle w:val="Heading1"/>
      </w:pPr>
      <w:r>
        <w:t xml:space="preserve">Seminar Presentation Slides: Navigating the Role of a Financial Analyst in Kuwait City</w:t>
      </w:r>
    </w:p>
    <w:p>
      <w:pPr>
        <w:pStyle w:val="FirstParagraph"/>
      </w:pPr>
      <w:r>
        <w:rPr>
          <w:bCs/>
          <w:b/>
        </w:rPr>
        <w:t xml:space="preserve">Date:</w:t>
      </w:r>
      <w:r>
        <w:t xml:space="preserve"> </w:t>
      </w:r>
      <w:r>
        <w:t xml:space="preserve">October 2023</w:t>
      </w:r>
    </w:p>
    <w:p>
      <w:pPr>
        <w:pStyle w:val="BodyText"/>
      </w:pPr>
      <w:r>
        <w:rPr>
          <w:bCs/>
          <w:b/>
        </w:rPr>
        <w:t xml:space="preserve">Venue:</w:t>
      </w:r>
      <w:r>
        <w:t xml:space="preserve"> </w:t>
      </w:r>
      <w:r>
        <w:t xml:space="preserve">Kuwait City, State of Kuwait</w:t>
      </w:r>
    </w:p>
    <w:p>
      <w:r>
        <w:pict>
          <v:rect style="width:0;height:1.5pt" o:hralign="center" o:hrstd="t" o:hr="t"/>
        </w:pict>
      </w:r>
    </w:p>
    <w:bookmarkStart w:id="20" w:name="about-this-presentation"/>
    <w:p>
      <w:pPr>
        <w:pStyle w:val="Heading3"/>
      </w:pPr>
      <w:r>
        <w:t xml:space="preserve">About This Presentation</w:t>
      </w:r>
    </w:p>
    <w:p>
      <w:pPr>
        <w:pStyle w:val="FirstParagraph"/>
      </w:pPr>
      <w:r>
        <w:t xml:space="preserve">Welcome to this comprehensive seminar dedicated to the evolving landscape of finance within the heart of the Gulf. This document serves as a detailed guide for professionals, students, and stakeholders interested in understanding the critical role of a Financial Analyst in Kuwait City. As we navigate through these slides, we will explore market dynamics, regulatory frameworks specific to Kuwait, career pathways, and future trends that define financial expertise in this dynamic metropolis.</w:t>
      </w:r>
    </w:p>
    <w:p>
      <w:pPr>
        <w:pStyle w:val="BodyText"/>
      </w:pPr>
      <w:r>
        <w:t xml:space="preserve">Slide 1 of 8</w:t>
      </w:r>
    </w:p>
    <w:bookmarkEnd w:id="20"/>
    <w:bookmarkEnd w:id="21"/>
    <w:bookmarkStart w:id="23" w:name="the-economic-backbone-of-kuwait-city"/>
    <w:p>
      <w:pPr>
        <w:pStyle w:val="Heading2"/>
      </w:pPr>
      <w:r>
        <w:t xml:space="preserve">The Economic Backbone of Kuwait City</w:t>
      </w:r>
    </w:p>
    <w:p>
      <w:pPr>
        <w:pStyle w:val="FirstParagraph"/>
      </w:pPr>
      <w:r>
        <w:t xml:space="preserve">Kuwait City stands as a testament to economic resilience and strategic positioning in the Middle East. As the capital, it houses the majority of corporate headquarters, government entities, and financial institutions that drive national prosperity. For a Financial Analyst working in this region, understanding the macroeconomic environment is not just beneficial; it is imperative.</w:t>
      </w:r>
    </w:p>
    <w:bookmarkStart w:id="22" w:name="key-economic-drivers"/>
    <w:p>
      <w:pPr>
        <w:pStyle w:val="Heading3"/>
      </w:pPr>
      <w:r>
        <w:t xml:space="preserve">Key Economic Drivers</w:t>
      </w:r>
    </w:p>
    <w:p>
      <w:pPr>
        <w:numPr>
          <w:ilvl w:val="0"/>
          <w:numId w:val="1001"/>
        </w:numPr>
        <w:pStyle w:val="Compact"/>
      </w:pPr>
      <w:r>
        <w:rPr>
          <w:bCs/>
          <w:b/>
        </w:rPr>
        <w:t xml:space="preserve">Oil and Gas Sector:</w:t>
      </w:r>
      <w:r>
        <w:t xml:space="preserve"> </w:t>
      </w:r>
      <w:r>
        <w:t xml:space="preserve">Despite ongoing diversification efforts, hydrocarbons remain the cornerstone of Kuwait’s GDP. Financial analysts must possess specialized knowledge in energy market fluctuations, export revenues, and sovereign wealth management.</w:t>
      </w:r>
    </w:p>
    <w:p>
      <w:pPr>
        <w:numPr>
          <w:ilvl w:val="0"/>
          <w:numId w:val="1001"/>
        </w:numPr>
        <w:pStyle w:val="Compact"/>
      </w:pPr>
      <w:r>
        <w:rPr>
          <w:bCs/>
          <w:b/>
        </w:rPr>
        <w:t xml:space="preserve">Kuwait Vision 2035 (New Kuwait):</w:t>
      </w:r>
      <w:r>
        <w:t xml:space="preserve"> </w:t>
      </w:r>
      <w:r>
        <w:t xml:space="preserve">This national development plan aims to transition Kuwait toward a financial center hub. For analysts, this translates into emerging opportunities in banking, fintech, real estate development funds, and industrial investments.</w:t>
      </w:r>
    </w:p>
    <w:p>
      <w:pPr>
        <w:numPr>
          <w:ilvl w:val="0"/>
          <w:numId w:val="1001"/>
        </w:numPr>
        <w:pStyle w:val="Compact"/>
      </w:pPr>
      <w:r>
        <w:rPr>
          <w:bCs/>
          <w:b/>
        </w:rPr>
        <w:t xml:space="preserve">Sovereign Wealth Fund:</w:t>
      </w:r>
      <w:r>
        <w:t xml:space="preserve"> </w:t>
      </w:r>
      <w:r>
        <w:t xml:space="preserve">The Kuwait Investment Authority (KIA) is one of the oldest and largest sovereign wealth funds globally. Understanding its investment strategies provides critical context for local market sentiment and capital flow analysis.</w:t>
      </w:r>
    </w:p>
    <w:p>
      <w:pPr>
        <w:pStyle w:val="FirstParagraph"/>
      </w:pPr>
      <w:r>
        <w:t xml:space="preserve">Slide 2 of 8</w:t>
      </w:r>
    </w:p>
    <w:bookmarkEnd w:id="22"/>
    <w:bookmarkEnd w:id="23"/>
    <w:bookmarkStart w:id="25" w:name="defining-the-modern-financial-analyst"/>
    <w:p>
      <w:pPr>
        <w:pStyle w:val="Heading2"/>
      </w:pPr>
      <w:r>
        <w:t xml:space="preserve">Defining the Modern Financial Analyst</w:t>
      </w:r>
    </w:p>
    <w:p>
      <w:pPr>
        <w:pStyle w:val="FirstParagraph"/>
      </w:pPr>
      <w:r>
        <w:t xml:space="preserve">In Kuwait City, the role of a Financial Analyst has transcended traditional bookkeeping. Today’s professionals are strategic partners who interpret complex data to guide executive decision-making. Whether working in multinational corporations headquartered in the Gulf Cooperation Council (GCC) or local Kuwaiti conglomerates, the core responsibilities remain high-stakes and impactful.</w:t>
      </w:r>
    </w:p>
    <w:bookmarkStart w:id="24" w:name="core-responsibilities"/>
    <w:p>
      <w:pPr>
        <w:pStyle w:val="Heading3"/>
      </w:pPr>
      <w:r>
        <w:t xml:space="preserve">Core Responsibilities</w:t>
      </w:r>
    </w:p>
    <w:p>
      <w:pPr>
        <w:numPr>
          <w:ilvl w:val="0"/>
          <w:numId w:val="1002"/>
        </w:numPr>
        <w:pStyle w:val="Compact"/>
      </w:pPr>
      <w:r>
        <w:rPr>
          <w:bCs/>
          <w:b/>
        </w:rPr>
        <w:t xml:space="preserve">Data Analysis &amp; Modeling:</w:t>
      </w:r>
      <w:r>
        <w:t xml:space="preserve"> </w:t>
      </w:r>
      <w:r>
        <w:t xml:space="preserve">Building robust financial models to forecast revenue, expenses, and cash flow. In a volatile global market, accurate forecasting is the primary tool for risk mitigation.</w:t>
      </w:r>
    </w:p>
    <w:p>
      <w:pPr>
        <w:numPr>
          <w:ilvl w:val="0"/>
          <w:numId w:val="1002"/>
        </w:numPr>
        <w:pStyle w:val="Compact"/>
      </w:pPr>
      <w:r>
        <w:rPr>
          <w:bCs/>
          <w:b/>
        </w:rPr>
        <w:t xml:space="preserve">Budgeting and Forecasting:</w:t>
      </w:r>
    </w:p>
    <w:p>
      <w:pPr>
        <w:numPr>
          <w:ilvl w:val="0"/>
          <w:numId w:val="1002"/>
        </w:numPr>
        <w:pStyle w:val="Compact"/>
      </w:pPr>
      <w:r>
        <w:rPr>
          <w:bCs/>
          <w:b/>
        </w:rPr>
        <w:t xml:space="preserve">Investment Appraisal:</w:t>
      </w:r>
      <w:r>
        <w:t xml:space="preserve"> </w:t>
      </w:r>
      <w:r>
        <w:t xml:space="preserve">Evaluating potential investment opportunities, including mergers, acquisitions, or new market entries. In Kuwait City’s competitive landscape, due diligence is paramount.</w:t>
      </w:r>
    </w:p>
    <w:p>
      <w:pPr>
        <w:numPr>
          <w:ilvl w:val="0"/>
          <w:numId w:val="1002"/>
        </w:numPr>
        <w:pStyle w:val="Compact"/>
      </w:pPr>
      <w:r>
        <w:rPr>
          <w:bCs/>
          <w:b/>
        </w:rPr>
        <w:t xml:space="preserve">Risk Management:</w:t>
      </w:r>
    </w:p>
    <w:p>
      <w:pPr>
        <w:pStyle w:val="FirstParagraph"/>
      </w:pPr>
      <w:r>
        <w:t xml:space="preserve">Slide 3 of 8</w:t>
      </w:r>
    </w:p>
    <w:bookmarkEnd w:id="24"/>
    <w:bookmarkEnd w:id="25"/>
    <w:bookmarkStart w:id="27" w:name="navigating-the-regulatory-framework"/>
    <w:p>
      <w:pPr>
        <w:pStyle w:val="Heading2"/>
      </w:pPr>
      <w:r>
        <w:t xml:space="preserve">Navigating the Regulatory Framework</w:t>
      </w:r>
    </w:p>
    <w:p>
      <w:pPr>
        <w:pStyle w:val="FirstParagraph"/>
      </w:pPr>
      <w:r>
        <w:t xml:space="preserve">A deep understanding of the local regulatory environment is non-negotiable for any Financial Analyst operating in Kuwait. The financial sector is heavily regulated to ensure transparency, stability, and compliance with international standards.</w:t>
      </w:r>
    </w:p>
    <w:bookmarkStart w:id="26" w:name="key-regulatory-bodies"/>
    <w:p>
      <w:pPr>
        <w:pStyle w:val="Heading3"/>
      </w:pPr>
      <w:r>
        <w:t xml:space="preserve">Key Regulatory Bodies</w:t>
      </w:r>
    </w:p>
    <w:p>
      <w:pPr>
        <w:numPr>
          <w:ilvl w:val="0"/>
          <w:numId w:val="1003"/>
        </w:numPr>
        <w:pStyle w:val="Compact"/>
      </w:pPr>
      <w:r>
        <w:rPr>
          <w:bCs/>
          <w:b/>
        </w:rPr>
        <w:t xml:space="preserve">Capital Markets Authority (CMA):</w:t>
      </w:r>
    </w:p>
    <w:p>
      <w:pPr>
        <w:numPr>
          <w:ilvl w:val="0"/>
          <w:numId w:val="1003"/>
        </w:numPr>
        <w:pStyle w:val="Compact"/>
      </w:pPr>
      <w:r>
        <w:rPr>
          <w:bCs/>
          <w:b/>
        </w:rPr>
        <w:t xml:space="preserve">Central Bank of Kuwait (CBK):</w:t>
      </w:r>
    </w:p>
    <w:p>
      <w:pPr>
        <w:numPr>
          <w:ilvl w:val="0"/>
          <w:numId w:val="1003"/>
        </w:numPr>
        <w:pStyle w:val="Compact"/>
      </w:pPr>
      <w:r>
        <w:rPr>
          <w:bCs/>
          <w:b/>
        </w:rPr>
        <w:t xml:space="preserve">International Standards:</w:t>
      </w:r>
    </w:p>
    <w:p>
      <w:pPr>
        <w:pStyle w:val="FirstParagraph"/>
      </w:pPr>
      <w:r>
        <w:t xml:space="preserve">Slide 4 of 8</w:t>
      </w:r>
    </w:p>
    <w:bookmarkEnd w:id="26"/>
    <w:bookmarkEnd w:id="27"/>
    <w:bookmarkStart w:id="30" w:name="Xc6894c9467c064c975bf80766cc3f0950519023"/>
    <w:p>
      <w:pPr>
        <w:pStyle w:val="Heading2"/>
      </w:pPr>
      <w:r>
        <w:t xml:space="preserve">Critical Skills for Success in Kuwait City</w:t>
      </w:r>
    </w:p>
    <w:p>
      <w:pPr>
        <w:pStyle w:val="FirstParagraph"/>
      </w:pPr>
      <w:r>
        <w:t xml:space="preserve">The profile of a successful Financial Analyst in Kuwait City is a hybrid of technical prowess and cultural intelligence. While hard skills are the entry ticket, soft skills often determine career trajectory.</w:t>
      </w:r>
    </w:p>
    <w:bookmarkStart w:id="28" w:name="technical-competencies"/>
    <w:p>
      <w:pPr>
        <w:pStyle w:val="Heading3"/>
      </w:pPr>
      <w:r>
        <w:t xml:space="preserve">Technical Competencies</w:t>
      </w:r>
    </w:p>
    <w:p>
      <w:pPr>
        <w:numPr>
          <w:ilvl w:val="0"/>
          <w:numId w:val="1004"/>
        </w:numPr>
        <w:pStyle w:val="Compact"/>
      </w:pPr>
      <w:r>
        <w:rPr>
          <w:bCs/>
          <w:b/>
        </w:rPr>
        <w:t xml:space="preserve">Advanced Excel and ERP Systems:</w:t>
      </w:r>
    </w:p>
    <w:p>
      <w:pPr>
        <w:numPr>
          <w:ilvl w:val="0"/>
          <w:numId w:val="1004"/>
        </w:numPr>
        <w:pStyle w:val="Compact"/>
      </w:pPr>
      <w:r>
        <w:rPr>
          <w:bCs/>
          <w:b/>
        </w:rPr>
        <w:t xml:space="preserve">Data Visualization:</w:t>
      </w:r>
    </w:p>
    <w:p>
      <w:pPr>
        <w:numPr>
          <w:ilvl w:val="0"/>
          <w:numId w:val="1004"/>
        </w:numPr>
        <w:pStyle w:val="Compact"/>
      </w:pPr>
      <w:r>
        <w:rPr>
          <w:bCs/>
          <w:b/>
        </w:rPr>
        <w:t xml:space="preserve">Bilingual Proficiency:</w:t>
      </w:r>
    </w:p>
    <w:bookmarkEnd w:id="28"/>
    <w:bookmarkStart w:id="29" w:name="strategic-mindset"/>
    <w:p>
      <w:pPr>
        <w:pStyle w:val="Heading3"/>
      </w:pPr>
      <w:r>
        <w:t xml:space="preserve">Strategic Mindset</w:t>
      </w:r>
    </w:p>
    <w:p>
      <w:pPr>
        <w:pStyle w:val="FirstParagraph"/>
      </w:pPr>
      <w:r>
        <w:t xml:space="preserve">Analysts must think beyond the spreadsheet. They need to understand the "why" behind the numbers, considering cultural nuances in business negotiation and long-term strategic goals aligned with national visions.</w:t>
      </w:r>
    </w:p>
    <w:p>
      <w:pPr>
        <w:pStyle w:val="BodyText"/>
      </w:pPr>
      <w:r>
        <w:t xml:space="preserve">Slide 5 of 8</w:t>
      </w:r>
    </w:p>
    <w:bookmarkEnd w:id="29"/>
    <w:bookmarkEnd w:id="30"/>
    <w:bookmarkStart w:id="32" w:name="Xb2e3192470010a9d16e034be6bde048f1c0e3be"/>
    <w:p>
      <w:pPr>
        <w:pStyle w:val="Heading2"/>
      </w:pPr>
      <w:r>
        <w:t xml:space="preserve">Career Trajectories for Financial Analysts</w:t>
      </w:r>
    </w:p>
    <w:p>
      <w:pPr>
        <w:pStyle w:val="FirstParagraph"/>
      </w:pPr>
      <w:r>
        <w:t xml:space="preserve">Kuwait City offers a diverse range of employment sectors for financial professionals. The career path is not linear; it allows for lateral moves between banking, corporate finance, and government entities.</w:t>
      </w:r>
    </w:p>
    <w:bookmarkStart w:id="31" w:name="sector-opportunities"/>
    <w:p>
      <w:pPr>
        <w:pStyle w:val="Heading3"/>
      </w:pPr>
      <w:r>
        <w:t xml:space="preserve">Sector Opportunities</w:t>
      </w:r>
    </w:p>
    <w:p>
      <w:pPr>
        <w:numPr>
          <w:ilvl w:val="0"/>
          <w:numId w:val="1005"/>
        </w:numPr>
        <w:pStyle w:val="Compact"/>
      </w:pPr>
      <w:r>
        <w:rPr>
          <w:bCs/>
          <w:b/>
        </w:rPr>
        <w:t xml:space="preserve">The Banking Sector:</w:t>
      </w:r>
    </w:p>
    <w:p>
      <w:pPr>
        <w:numPr>
          <w:ilvl w:val="0"/>
          <w:numId w:val="1005"/>
        </w:numPr>
        <w:pStyle w:val="Compact"/>
      </w:pPr>
      <w:r>
        <w:rPr>
          <w:bCs/>
          <w:b/>
        </w:rPr>
        <w:t xml:space="preserve">Multinational Corporations:</w:t>
      </w:r>
    </w:p>
    <w:p>
      <w:pPr>
        <w:numPr>
          <w:ilvl w:val="0"/>
          <w:numId w:val="1005"/>
        </w:numPr>
        <w:pStyle w:val="Compact"/>
      </w:pPr>
      <w:r>
        <w:rPr>
          <w:bCs/>
          <w:b/>
        </w:rPr>
        <w:t xml:space="preserve">Government and Semi-Government Entities:</w:t>
      </w:r>
    </w:p>
    <w:p>
      <w:pPr>
        <w:numPr>
          <w:ilvl w:val="0"/>
          <w:numId w:val="1005"/>
        </w:numPr>
        <w:pStyle w:val="Compact"/>
      </w:pPr>
      <w:r>
        <w:rPr>
          <w:bCs/>
          <w:b/>
        </w:rPr>
        <w:t xml:space="preserve">Consulting Firms:</w:t>
      </w:r>
    </w:p>
    <w:p>
      <w:pPr>
        <w:pStyle w:val="FirstParagraph"/>
      </w:pPr>
      <w:r>
        <w:t xml:space="preserve">Slide 6 of 8</w:t>
      </w:r>
    </w:p>
    <w:bookmarkEnd w:id="31"/>
    <w:bookmarkEnd w:id="32"/>
    <w:bookmarkStart w:id="35" w:name="Xd12982df11cc6c0b5482423701e8f8c7b407452"/>
    <w:p>
      <w:pPr>
        <w:pStyle w:val="Heading2"/>
      </w:pPr>
      <w:r>
        <w:t xml:space="preserve">Navigating Challenges and Seizing Opportunities</w:t>
      </w:r>
    </w:p>
    <w:p>
      <w:pPr>
        <w:pStyle w:val="FirstParagraph"/>
      </w:pPr>
      <w:r>
        <w:t xml:space="preserve">No profession is without its hurdles. For Financial Analysts in Kuwait City, understanding the current challenges allows for proactive problem-solving.</w:t>
      </w:r>
    </w:p>
    <w:bookmarkStart w:id="33" w:name="current-challenges"/>
    <w:p>
      <w:pPr>
        <w:pStyle w:val="Heading3"/>
      </w:pPr>
      <w:r>
        <w:t xml:space="preserve">Current Challenges</w:t>
      </w:r>
    </w:p>
    <w:p>
      <w:pPr>
        <w:numPr>
          <w:ilvl w:val="0"/>
          <w:numId w:val="1006"/>
        </w:numPr>
        <w:pStyle w:val="Compact"/>
      </w:pPr>
      <w:r>
        <w:rPr>
          <w:bCs/>
          <w:b/>
        </w:rPr>
        <w:t xml:space="preserve">Diversification Pace:</w:t>
      </w:r>
    </w:p>
    <w:p>
      <w:pPr>
        <w:numPr>
          <w:ilvl w:val="0"/>
          <w:numId w:val="1006"/>
        </w:numPr>
        <w:pStyle w:val="Compact"/>
      </w:pPr>
      <w:r>
        <w:rPr>
          <w:bCs/>
          <w:b/>
        </w:rPr>
        <w:t xml:space="preserve">Talent Competition:</w:t>
      </w:r>
    </w:p>
    <w:bookmarkEnd w:id="33"/>
    <w:bookmarkStart w:id="34" w:name="emerging-opportunities"/>
    <w:p>
      <w:pPr>
        <w:pStyle w:val="Heading3"/>
      </w:pPr>
      <w:r>
        <w:t xml:space="preserve">Emerging Opportunities</w:t>
      </w:r>
    </w:p>
    <w:p>
      <w:pPr>
        <w:numPr>
          <w:ilvl w:val="0"/>
          <w:numId w:val="1007"/>
        </w:numPr>
        <w:pStyle w:val="Compact"/>
      </w:pPr>
      <w:r>
        <w:rPr>
          <w:bCs/>
          <w:b/>
        </w:rPr>
        <w:t xml:space="preserve">Fintech Revolution:</w:t>
      </w:r>
    </w:p>
    <w:p>
      <w:pPr>
        <w:numPr>
          <w:ilvl w:val="0"/>
          <w:numId w:val="1007"/>
        </w:numPr>
        <w:pStyle w:val="Compact"/>
      </w:pPr>
      <w:r>
        <w:rPr>
          <w:bCs/>
          <w:b/>
        </w:rPr>
        <w:t xml:space="preserve">Sustainable Finance:</w:t>
      </w:r>
    </w:p>
    <w:p>
      <w:pPr>
        <w:pStyle w:val="FirstParagraph"/>
      </w:pPr>
      <w:r>
        <w:t xml:space="preserve">Slide 7 of 8</w:t>
      </w:r>
    </w:p>
    <w:bookmarkEnd w:id="34"/>
    <w:bookmarkEnd w:id="35"/>
    <w:bookmarkStart w:id="36" w:name="X30f2bf9155322f45a083ddf1bf916c91b7284ff"/>
    <w:p>
      <w:pPr>
        <w:pStyle w:val="Heading2"/>
      </w:pPr>
      <w:r>
        <w:t xml:space="preserve">Conclusion: The Future is Bright for Analysts in Kuwait City</w:t>
      </w:r>
    </w:p>
    <w:p>
      <w:pPr>
        <w:pStyle w:val="FirstParagraph"/>
      </w:pPr>
      <w:r>
        <w:t xml:space="preserve">In conclusion, the role of a Financial Analyst in Kuwait City is both dynamic and indispensable. As the city positions itself as a regional financial hub under Vision 2035, the demand for skilled professionals who can navigate complex regulatory environments, leverage technology, and provide strategic insight will continue to grow.</w:t>
      </w:r>
    </w:p>
    <w:p>
      <w:pPr>
        <w:pStyle w:val="BodyText"/>
      </w:pPr>
      <w:r>
        <w:rPr>
          <w:bCs/>
          <w:b/>
        </w:rPr>
        <w:t xml:space="preserve">Final Thoughts:</w:t>
      </w:r>
    </w:p>
    <w:p>
      <w:pPr>
        <w:numPr>
          <w:ilvl w:val="0"/>
          <w:numId w:val="1008"/>
        </w:numPr>
        <w:pStyle w:val="Compact"/>
      </w:pPr>
      <w:r>
        <w:rPr>
          <w:bCs/>
          <w:b/>
        </w:rPr>
        <w:t xml:space="preserve">Adaptability:</w:t>
      </w:r>
    </w:p>
    <w:p>
      <w:pPr>
        <w:numPr>
          <w:ilvl w:val="0"/>
          <w:numId w:val="1008"/>
        </w:numPr>
        <w:pStyle w:val="Compact"/>
      </w:pPr>
      <w:r>
        <w:t xml:space="preserve">Continuous Learning:</w:t>
      </w:r>
      <w:r>
        <w:t xml:space="preserve">Certifications such as CFA, CPA, or ACCA remain gold standards for career advancement.</w:t>
      </w:r>
    </w:p>
    <w:p>
      <w:pPr>
        <w:numPr>
          <w:ilvl w:val="0"/>
          <w:numId w:val="1008"/>
        </w:numPr>
        <w:pStyle w:val="Compact"/>
      </w:pPr>
      <w:r>
        <w:rPr>
          <w:bCs/>
          <w:b/>
        </w:rPr>
        <w:t xml:space="preserve">National Contribution:</w:t>
      </w:r>
    </w:p>
    <w:p>
      <w:pPr>
        <w:pStyle w:val="FirstParagraph"/>
      </w:pPr>
      <w:r>
        <w:t xml:space="preserve">We invite you to engage in further dialogue regarding specific case studies from the Kuwait City market. Thank you for your attention.</w:t>
      </w:r>
    </w:p>
    <w:p>
      <w:pPr>
        <w:pStyle w:val="BodyText"/>
      </w:pPr>
      <w:r>
        <w:t xml:space="preserve">Slide 8 of 8</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Kuwait City</dc:title>
  <dc:creator/>
  <dc:language>en</dc:language>
  <cp:keywords/>
  <dcterms:created xsi:type="dcterms:W3CDTF">2026-07-29T14:33:02Z</dcterms:created>
  <dcterms:modified xsi:type="dcterms:W3CDTF">2026-07-29T14:33:02Z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