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a2a1e0c973a77824b718557441606f968cac96a"/>
    <w:p>
      <w:pPr>
        <w:pStyle w:val="Heading1"/>
      </w:pPr>
      <w:r>
        <w:t xml:space="preserve">Seminar Presentation Slides: Strategic Human Resources Management in the Contemporary Business Landscape of Manchester, United Kingdom</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dedicated to the evolving role of the</w:t>
      </w:r>
      <w:r>
        <w:t xml:space="preserve"> </w:t>
      </w:r>
      <w:r>
        <w:t xml:space="preserve">Human Resources Manager</w:t>
      </w:r>
      <w:r>
        <w:t xml:space="preserve">. This document is specifically tailored for an audience situated within the dynamic economic environment of</w:t>
      </w:r>
      <w:r>
        <w:t xml:space="preserve"> </w:t>
      </w:r>
      <w:r>
        <w:t xml:space="preserve">United Kingdom Manchester</w:t>
      </w:r>
      <w:r>
        <w:t xml:space="preserve">. As we navigate through these slides, it is imperative to understand that Manchester has transformed from its industrial roots into a leading hub for technology, finance, and creative industries. Consequently, the function of Human Resources in this region has shifted significantly from administrative support to strategic partnership.</w:t>
      </w:r>
    </w:p>
    <w:p>
      <w:pPr>
        <w:pStyle w:val="BodyText"/>
      </w:pPr>
      <w:r>
        <w:t xml:space="preserve">The primary objective of this seminar is to equip current and aspiring HR professionals with the knowledge required to thrive in Manchester’s competitive labor market. We will explore how local cultural nuances, legal frameworks specific to the United Kingdom, and global trends intersect within the Greater Manchester conurbation. By focusing on these elements, we ensure that our approach to talent acquisition, retention, and development is not only compliant but also culturally attuned and strategically vital.</w:t>
      </w:r>
    </w:p>
    <w:bookmarkEnd w:id="20"/>
    <w:bookmarkStart w:id="21" w:name="X4b409011e191feb2aa3e7a6660bed1a3d4a4feb"/>
    <w:p>
      <w:pPr>
        <w:pStyle w:val="Heading2"/>
      </w:pPr>
      <w:r>
        <w:t xml:space="preserve">Slide 2: The Evolving Role of the Human Resources Manager</w:t>
      </w:r>
    </w:p>
    <w:p>
      <w:pPr>
        <w:pStyle w:val="FirstParagraph"/>
      </w:pPr>
      <w:r>
        <w:t xml:space="preserve">In the context of Manchester’s bustling business districts, such as Spinningfields and MediaCityUK, the definition of a successful Human Resources Manager has expanded dramatically. No longer confined to payroll processing and disciplinary hearings, the modern HR leader acts as a change agent. In</w:t>
      </w:r>
      <w:r>
        <w:t xml:space="preserve"> </w:t>
      </w:r>
      <w:r>
        <w:t xml:space="preserve">United Kingdom Manchester</w:t>
      </w:r>
      <w:r>
        <w:t xml:space="preserve">, where innovation drives economic growth, HR Managers are tasked with fostering agility within organizations.</w:t>
      </w:r>
    </w:p>
    <w:p>
      <w:pPr>
        <w:numPr>
          <w:ilvl w:val="0"/>
          <w:numId w:val="1001"/>
        </w:numPr>
        <w:pStyle w:val="Compact"/>
      </w:pPr>
      <w:r>
        <w:rPr>
          <w:bCs/>
          <w:b/>
        </w:rPr>
        <w:t xml:space="preserve">Strategic Partner:</w:t>
      </w:r>
    </w:p>
    <w:p>
      <w:pPr>
        <w:numPr>
          <w:ilvl w:val="0"/>
          <w:numId w:val="1001"/>
        </w:numPr>
        <w:pStyle w:val="Compact"/>
      </w:pPr>
      <w:r>
        <w:rPr>
          <w:bCs/>
          <w:b/>
        </w:rPr>
        <w:t xml:space="preserve">Culture Custodian:</w:t>
      </w:r>
    </w:p>
    <w:p>
      <w:pPr>
        <w:numPr>
          <w:ilvl w:val="0"/>
          <w:numId w:val="1001"/>
        </w:numPr>
        <w:pStyle w:val="Compact"/>
      </w:pPr>
      <w:r>
        <w:rPr>
          <w:bCs/>
          <w:b/>
        </w:rPr>
        <w:t xml:space="preserve">Talent Scout:</w:t>
      </w:r>
    </w:p>
    <w:p>
      <w:pPr>
        <w:pStyle w:val="FirstParagraph"/>
      </w:pPr>
      <w:r>
        <w:t xml:space="preserve">This evolution requires a shift from reactive administration to proactive strategy. The HR Manager must anticipate market shifts, understand local competitor behaviors, and develop robust policies that support both employee well-being and organizational productivity.</w:t>
      </w:r>
    </w:p>
    <w:bookmarkEnd w:id="21"/>
    <w:bookmarkStart w:id="22" w:name="X01092806247ac5e8c7c53ef5e5b568f90432277"/>
    <w:p>
      <w:pPr>
        <w:pStyle w:val="Heading2"/>
      </w:pPr>
      <w:r>
        <w:t xml:space="preserve">Slide 3: Navigating the Legal Landscape in the United Kingdom</w:t>
      </w:r>
    </w:p>
    <w:p>
      <w:pPr>
        <w:pStyle w:val="FirstParagraph"/>
      </w:pPr>
      <w:r>
        <w:t xml:space="preserve">A foundational requirement for any Human Resources Manager operating in Manchester is a profound understanding of UK employment law. While Manchester offers a vibrant business environment, it operates under the strict regulatory framework of English Law and broader statutory requirements across England and Wales.</w:t>
      </w:r>
    </w:p>
    <w:p>
      <w:pPr>
        <w:pStyle w:val="BodyText"/>
      </w:pPr>
      <w:r>
        <w:t xml:space="preserve">Key legislative areas that demand constant attention include:</w:t>
      </w:r>
    </w:p>
    <w:p>
      <w:pPr>
        <w:numPr>
          <w:ilvl w:val="0"/>
          <w:numId w:val="1002"/>
        </w:numPr>
        <w:pStyle w:val="Compact"/>
      </w:pPr>
      <w:r>
        <w:rPr>
          <w:bCs/>
          <w:b/>
        </w:rPr>
        <w:t xml:space="preserve">The Equality Act 2010:</w:t>
      </w:r>
    </w:p>
    <w:p>
      <w:pPr>
        <w:numPr>
          <w:ilvl w:val="0"/>
          <w:numId w:val="1002"/>
        </w:numPr>
        <w:pStyle w:val="Compact"/>
      </w:pPr>
      <w:r>
        <w:rPr>
          <w:bCs/>
          <w:b/>
        </w:rPr>
        <w:t xml:space="preserve">Working Time Regulations:</w:t>
      </w:r>
    </w:p>
    <w:p>
      <w:pPr>
        <w:numPr>
          <w:ilvl w:val="0"/>
          <w:numId w:val="1002"/>
        </w:numPr>
        <w:pStyle w:val="Compact"/>
      </w:pPr>
      <w:r>
        <w:rPr>
          <w:bCs/>
          <w:b/>
        </w:rPr>
        <w:t xml:space="preserve">Glass’s Statutory Code of Practice on Disciplinary and Grievance Procedures:</w:t>
      </w:r>
    </w:p>
    <w:p>
      <w:pPr>
        <w:pStyle w:val="FirstParagraph"/>
      </w:pPr>
      <w:r>
        <w:t xml:space="preserve">The Human Resources Manager must stay updated on any legislative changes introduced by the Westminster government that affect employment rights, ensuring that Manchester-based operations remain compliant at all times.</w:t>
      </w:r>
    </w:p>
    <w:bookmarkEnd w:id="22"/>
    <w:bookmarkStart w:id="23" w:name="Xb1c6868858d4d98664133661340eba570bf6a78"/>
    <w:p>
      <w:pPr>
        <w:pStyle w:val="Heading2"/>
      </w:pPr>
      <w:r>
        <w:t xml:space="preserve">Slide 4: Talent Acquisition in a Competitive Local Market</w:t>
      </w:r>
    </w:p>
    <w:p>
      <w:pPr>
        <w:pStyle w:val="FirstParagraph"/>
      </w:pPr>
      <w:r>
        <w:t xml:space="preserve">Manchester is currently experiencing a surge in demand for skilled professionals, particularly in digital marketing, software engineering, and financial services. For the Human Resources Manager, securing top talent requires innovative strategies that go beyond traditional job boards.</w:t>
      </w:r>
    </w:p>
    <w:p>
      <w:pPr>
        <w:numPr>
          <w:ilvl w:val="0"/>
          <w:numId w:val="1003"/>
        </w:numPr>
        <w:pStyle w:val="Compact"/>
      </w:pPr>
      <w:r>
        <w:rPr>
          <w:bCs/>
          <w:b/>
        </w:rPr>
        <w:t xml:space="preserve">E Employer Branding:</w:t>
      </w:r>
    </w:p>
    <w:p>
      <w:pPr>
        <w:numPr>
          <w:ilvl w:val="0"/>
          <w:numId w:val="1003"/>
        </w:numPr>
        <w:pStyle w:val="Compact"/>
      </w:pPr>
      <w:r>
        <w:rPr>
          <w:bCs/>
          <w:b/>
        </w:rPr>
        <w:t xml:space="preserve">Diversity and Inclusion Initiatives:</w:t>
      </w:r>
    </w:p>
    <w:p>
      <w:pPr>
        <w:numPr>
          <w:ilvl w:val="0"/>
          <w:numId w:val="1003"/>
        </w:numPr>
        <w:pStyle w:val="Compact"/>
      </w:pPr>
      <w:r>
        <w:rPr>
          <w:bCs/>
          <w:b/>
        </w:rPr>
        <w:t xml:space="preserve">University Partnerships:</w:t>
      </w:r>
    </w:p>
    <w:bookmarkEnd w:id="23"/>
    <w:bookmarkStart w:id="24" w:name="X348f4d6526023592d663e9ba175c7e65c496630"/>
    <w:p>
      <w:pPr>
        <w:pStyle w:val="Heading2"/>
      </w:pPr>
      <w:r>
        <w:t xml:space="preserve">Slide 5: Retention, Engagement, and Well-being</w:t>
      </w:r>
    </w:p>
    <w:p>
      <w:pPr>
        <w:pStyle w:val="FirstParagraph"/>
      </w:pPr>
      <w:r>
        <w:t xml:space="preserve">Acquiring talent is only half the battle; retaining them in Manchester’s competitive market is equally challenging. The Human Resources Manager plays a critical role in designing employee value propositions that address modern workforce expectations.</w:t>
      </w:r>
    </w:p>
    <w:p>
      <w:pPr>
        <w:pStyle w:val="BodyText"/>
      </w:pPr>
      <w:r>
        <w:rPr>
          <w:bCs/>
          <w:b/>
        </w:rPr>
        <w:t xml:space="preserve">Mental Health Support:</w:t>
      </w:r>
    </w:p>
    <w:p>
      <w:pPr>
        <w:pStyle w:val="BodyText"/>
      </w:pPr>
      <w:r>
        <w:rPr>
          <w:bCs/>
          <w:b/>
        </w:rPr>
        <w:t xml:space="preserve">Flexible Working Arrangements:</w:t>
      </w:r>
    </w:p>
    <w:p>
      <w:pPr>
        <w:pStyle w:val="BodyText"/>
      </w:pPr>
      <w:r>
        <w:rPr>
          <w:bCs/>
          <w:b/>
        </w:rPr>
        <w:t xml:space="preserve">Career Development:</w:t>
      </w:r>
    </w:p>
    <w:bookmarkEnd w:id="24"/>
    <w:bookmarkStart w:id="25" w:name="X36355c93ef2eba1b660c00cf30ee2123d0d89fd"/>
    <w:p>
      <w:pPr>
        <w:pStyle w:val="Heading2"/>
      </w:pPr>
      <w:r>
        <w:t xml:space="preserve">Slide 6: Compensation, Benefits, and Total Reward</w:t>
      </w:r>
    </w:p>
    <w:p>
      <w:pPr>
        <w:pStyle w:val="FirstParagraph"/>
      </w:pPr>
      <w:r>
        <w:t xml:space="preserve">Designing a competitive compensation package is essential for attracting and retaining talent in the North West. While salaries in Manchester may differ slightly from London, the cost of living dynamics make total reward packages crucial.</w:t>
      </w:r>
    </w:p>
    <w:p>
      <w:pPr>
        <w:numPr>
          <w:ilvl w:val="0"/>
          <w:numId w:val="1004"/>
        </w:numPr>
        <w:pStyle w:val="Compact"/>
      </w:pPr>
      <w:r>
        <w:rPr>
          <w:bCs/>
          <w:b/>
        </w:rPr>
        <w:t xml:space="preserve">Pension Schemes:</w:t>
      </w:r>
    </w:p>
    <w:p>
      <w:pPr>
        <w:numPr>
          <w:ilvl w:val="0"/>
          <w:numId w:val="1004"/>
        </w:numPr>
        <w:pStyle w:val="Compact"/>
      </w:pPr>
      <w:r>
        <w:rPr>
          <w:bCs/>
          <w:b/>
        </w:rPr>
        <w:t xml:space="preserve">Bonus Structures:</w:t>
      </w:r>
    </w:p>
    <w:p>
      <w:pPr>
        <w:numPr>
          <w:ilvl w:val="0"/>
          <w:numId w:val="1004"/>
        </w:numPr>
        <w:pStyle w:val="Compact"/>
      </w:pPr>
      <w:r>
        <w:rPr>
          <w:bCs/>
          <w:b/>
        </w:rPr>
        <w:t xml:space="preserve">Non-Monetary Benefits:</w:t>
      </w:r>
    </w:p>
    <w:p>
      <w:pPr>
        <w:pStyle w:val="FirstParagraph"/>
      </w:pPr>
      <w:r>
        <w:t xml:space="preserve">The Human Resources Manager must regularly benchmark compensation against industry standards to ensure competitiveness without compromising financial sustainability.</w:t>
      </w:r>
    </w:p>
    <w:bookmarkEnd w:id="25"/>
    <w:bookmarkStart w:id="26" w:name="X263d19a9f5dbf9cfe5b0600023a8204bcf30b4c"/>
    <w:p>
      <w:pPr>
        <w:pStyle w:val="Heading2"/>
      </w:pPr>
      <w:r>
        <w:t xml:space="preserve">Slide 7: Managing Change and Organizational Culture</w:t>
      </w:r>
    </w:p>
    <w:p>
      <w:pPr>
        <w:pStyle w:val="FirstParagraph"/>
      </w:pPr>
      <w:r>
        <w:t xml:space="preserve">In a rapidly evolving business environment, change is constant. Whether it is digital transformation, mergers, or restructuring, the Human Resources Manager must lead the cultural aspect of change management.</w:t>
      </w:r>
    </w:p>
    <w:p>
      <w:pPr>
        <w:numPr>
          <w:ilvl w:val="0"/>
          <w:numId w:val="1005"/>
        </w:numPr>
        <w:pStyle w:val="Compact"/>
      </w:pPr>
      <w:r>
        <w:rPr>
          <w:bCs/>
          <w:b/>
        </w:rPr>
        <w:t xml:space="preserve">Communication Strategies:</w:t>
      </w:r>
    </w:p>
    <w:p>
      <w:pPr>
        <w:numPr>
          <w:ilvl w:val="0"/>
          <w:numId w:val="1005"/>
        </w:numPr>
        <w:pStyle w:val="Compact"/>
      </w:pPr>
      <w:r>
        <w:rPr>
          <w:bCs/>
          <w:b/>
        </w:rPr>
        <w:t xml:space="preserve">Cultural Alignment:</w:t>
      </w:r>
    </w:p>
    <w:p>
      <w:pPr>
        <w:numPr>
          <w:ilvl w:val="0"/>
          <w:numId w:val="1005"/>
        </w:numPr>
        <w:pStyle w:val="Compact"/>
      </w:pPr>
      <w:r>
        <w:rPr>
          <w:bCs/>
          <w:b/>
        </w:rPr>
        <w:t xml:space="preserve">Training and Development:</w:t>
      </w:r>
    </w:p>
    <w:bookmarkEnd w:id="26"/>
    <w:bookmarkStart w:id="27" w:name="slide-8-conclusion-and-future-outlook"/>
    <w:p>
      <w:pPr>
        <w:pStyle w:val="Heading2"/>
      </w:pPr>
      <w:r>
        <w:t xml:space="preserve">Slide 8: Conclusion and Future Outlook</w:t>
      </w:r>
    </w:p>
    <w:p>
      <w:pPr>
        <w:pStyle w:val="FirstParagraph"/>
      </w:pPr>
      <w:r>
        <w:t xml:space="preserve">To conclude, the role of the Human Resources Manager in Manchester is multifaceted and demanding. It requires a blend of legal expertise, strategic foresight, empathy, and business acumen. As we look to the future, HR professionals in</w:t>
      </w:r>
      <w:r>
        <w:t xml:space="preserve"> </w:t>
      </w:r>
      <w:r>
        <w:t xml:space="preserve">United Kingdom Manchester</w:t>
      </w:r>
      <w:r>
        <w:t xml:space="preserve"> </w:t>
      </w:r>
      <w:r>
        <w:t xml:space="preserve">must continue to adapt to technological advancements and shifting workforce demographics.</w:t>
      </w:r>
    </w:p>
    <w:p>
      <w:pPr>
        <w:pStyle w:val="BodyText"/>
      </w:pPr>
      <w:r>
        <w:t xml:space="preserve">The key takeaways from this seminar are:</w:t>
      </w:r>
    </w:p>
    <w:p>
      <w:pPr>
        <w:numPr>
          <w:ilvl w:val="0"/>
          <w:numId w:val="1006"/>
        </w:numPr>
        <w:pStyle w:val="Compact"/>
      </w:pPr>
      <w:r>
        <w:t xml:space="preserve">The HR Manager is a strategic partner essential for organizational success.</w:t>
      </w:r>
    </w:p>
    <w:p>
      <w:pPr>
        <w:numPr>
          <w:ilvl w:val="0"/>
          <w:numId w:val="1006"/>
        </w:numPr>
        <w:pStyle w:val="Compact"/>
      </w:pPr>
      <w:r>
        <w:t xml:space="preserve">A deep understanding of UK employment law is non-negotiable.</w:t>
      </w:r>
    </w:p>
    <w:p>
      <w:pPr>
        <w:numPr>
          <w:ilvl w:val="0"/>
          <w:numId w:val="1006"/>
        </w:numPr>
        <w:pStyle w:val="Compact"/>
      </w:pPr>
      <w:r>
        <w:t xml:space="preserve">Talent acquisition and retention strategies must be tailored to the local context of Manchester.</w:t>
      </w:r>
    </w:p>
    <w:p>
      <w:pPr>
        <w:numPr>
          <w:ilvl w:val="0"/>
          <w:numId w:val="1006"/>
        </w:numPr>
        <w:pStyle w:val="Compact"/>
      </w:pPr>
      <w:r>
        <w:t xml:space="preserve">Prioritizing employee well-being and development fosters a resilient workforce.</w:t>
      </w:r>
    </w:p>
    <w:p>
      <w:pPr>
        <w:pStyle w:val="FirstParagraph"/>
      </w:pPr>
      <w:r>
        <w:t xml:space="preserve">We encourage all attendees to embrace these principles, fostering a proactive approach to Human Resources management that drives sustainable growth and positive cultural change within their respective organizations in the vibrant city of Manchester.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United Kingdom Manchester</dc:title>
  <dc:creator/>
  <dc:language>en</dc:language>
  <cp:keywords/>
  <dcterms:created xsi:type="dcterms:W3CDTF">2026-07-29T16:08:19Z</dcterms:created>
  <dcterms:modified xsi:type="dcterms:W3CDTF">2026-07-29T16:08:19Z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