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Lawyer</w:t>
      </w:r>
      <w:r>
        <w:t xml:space="preserve"> </w:t>
      </w:r>
      <w:r>
        <w:t xml:space="preserve">in</w:t>
      </w:r>
      <w:r>
        <w:t xml:space="preserve"> </w:t>
      </w:r>
      <w:r>
        <w:t xml:space="preserve">Malaysia</w:t>
      </w:r>
      <w:r>
        <w:t xml:space="preserve"> </w:t>
      </w:r>
      <w:r>
        <w:t xml:space="preserve">Kuala</w:t>
      </w:r>
      <w:r>
        <w:t xml:space="preserve"> </w:t>
      </w:r>
      <w:r>
        <w:t xml:space="preserve">Lumpur</w:t>
      </w:r>
    </w:p>
    <w:bookmarkStart w:id="21" w:name="X945a847d045f0090b8c09d97bf33f2c8965c05a"/>
    <w:p>
      <w:pPr>
        <w:pStyle w:val="Heading1"/>
      </w:pPr>
      <w:r>
        <w:t xml:space="preserve">Seminar Presentation Slides: The Role and Evolution of the Lawyer in Malaysia Kuala Lumpur</w:t>
      </w:r>
    </w:p>
    <w:p>
      <w:pPr>
        <w:pStyle w:val="FirstParagraph"/>
      </w:pPr>
      <w:r>
        <w:t xml:space="preserve">Slide 1: Introduction to the Legal Profession in Malaysia Kuala Lumpur</w:t>
      </w:r>
    </w:p>
    <w:p>
      <w:pPr>
        <w:pStyle w:val="BodyText"/>
      </w:pPr>
      <w:r>
        <w:t xml:space="preserve">Welcome to this comprehensive seminar presentation focusing on the dynamic landscape of legal practice within Malaysia, with a specific emphasis on its economic and legal hub, Kuala Lumpur. As a global city, Kuala Lumpur serves as the epicenter for commercial litigation, corporate law, and international arbitration in Southeast Asia. This presentation aims to dissect the multifaceted role of the lawyer in this bustling metropolis. We will explore how lawyers operate not merely as advocates within courtrooms but as strategic advisors navigating a complex regulatory framework that balances local statutory requirements with international best practices. Understanding the context of Malaysia Kuala Lumpur is crucial, as it presents unique opportunities and challenges for legal practitioners due to its status as a bridge between Eastern and Western legal markets.</w:t>
      </w:r>
    </w:p>
    <w:p>
      <w:pPr>
        <w:numPr>
          <w:ilvl w:val="0"/>
          <w:numId w:val="1001"/>
        </w:numPr>
        <w:pStyle w:val="Compact"/>
      </w:pPr>
      <w:r>
        <w:t xml:space="preserve">Overview of the Malaysian legal system based on Common Law traditions.</w:t>
      </w:r>
    </w:p>
    <w:p>
      <w:pPr>
        <w:numPr>
          <w:ilvl w:val="0"/>
          <w:numId w:val="1001"/>
        </w:numPr>
        <w:pStyle w:val="Compact"/>
      </w:pPr>
      <w:r>
        <w:t xml:space="preserve">The significance of Kuala Lumpur as the primary hub for high-value transactions.</w:t>
      </w:r>
    </w:p>
    <w:p>
      <w:pPr>
        <w:numPr>
          <w:ilvl w:val="0"/>
          <w:numId w:val="1001"/>
        </w:numPr>
        <w:pStyle w:val="Compact"/>
      </w:pPr>
      <w:r>
        <w:t xml:space="preserve">The evolving expectation for lawyers to possess cross-border competency.</w:t>
      </w:r>
    </w:p>
    <w:p>
      <w:pPr>
        <w:pStyle w:val="FirstParagraph"/>
      </w:pPr>
      <w:r>
        <w:t xml:space="preserve">Slide 2: The Structural Framework of Legal Practice</w:t>
      </w:r>
    </w:p>
    <w:p>
      <w:pPr>
        <w:pStyle w:val="BodyText"/>
      </w:pPr>
      <w:r>
        <w:t xml:space="preserve">To understand the lawyer in Malaysia Kuala Lumpur, one must first appreciate the structural framework governing their practice. The legal profession in Malaysia is regulated by the Advocates and Solicitors Act 1976 and overseen by the Malaysian Bar Council. In Kuala Lumpur, this translates to a highly competitive environment where Barristers (Advocates) and Solicitors are distinct entities, although many modern firms operate with integrated teams that blur these lines for client convenience. The city hosts both large local firms with international reach and prestigious foreign law offices allowed to offer legal advice on foreign law under the Legal Profession (Amendment) Act 2014. This structural duality requires lawyers in Malaysia Kuala Lumpur to be adept at identifying jurisdictional nuances, ensuring that their clients receive precise advice that complies with the Malaysian Bar’s strict ethical codes while simultaneously satisfying international commercial standards.</w:t>
      </w:r>
    </w:p>
    <w:p>
      <w:pPr>
        <w:numPr>
          <w:ilvl w:val="0"/>
          <w:numId w:val="1002"/>
        </w:numPr>
        <w:pStyle w:val="Compact"/>
      </w:pPr>
      <w:r>
        <w:t xml:space="preserve">Differentiation between Advocates and Solicitors under the 1976 Act.</w:t>
      </w:r>
    </w:p>
    <w:p>
      <w:pPr>
        <w:numPr>
          <w:ilvl w:val="0"/>
          <w:numId w:val="1002"/>
        </w:numPr>
        <w:pStyle w:val="Compact"/>
      </w:pPr>
      <w:r>
        <w:t xml:space="preserve">The role of the High Court of Malaya, located in Kuala Lumpur, as a key judicial body.</w:t>
      </w:r>
    </w:p>
    <w:p>
      <w:pPr>
        <w:numPr>
          <w:ilvl w:val="0"/>
          <w:numId w:val="1002"/>
        </w:numPr>
        <w:pStyle w:val="Compact"/>
      </w:pPr>
      <w:r>
        <w:t xml:space="preserve">The emergence of foreign law practices expanding into the Kuala Lumpur skyline.</w:t>
      </w:r>
    </w:p>
    <w:p>
      <w:pPr>
        <w:pStyle w:val="FirstParagraph"/>
      </w:pPr>
      <w:r>
        <w:t xml:space="preserve">Slide 3: Corporate and Commercial Law Dynamics</w:t>
      </w:r>
    </w:p>
    <w:p>
      <w:pPr>
        <w:pStyle w:val="BodyText"/>
      </w:pPr>
      <w:r>
        <w:t xml:space="preserve">A significant portion of the workload for any lawyer in Malaysia Kuala Lumpur revolves around corporate and commercial law. As the capital houses the headquarters of most major multinational corporations operating in Southeast Asia, Kuala Lumpur is a hotspot for mergers, acquisitions, initial public offerings (IPOs), and joint ventures. Lawyers here are tasked with facilitating these complex transactions. They must navigate the Companies Act 2016, ensuring compliance with corporate governance standards that have been significantly tightened in recent years to attract foreign direct investment. The lawyer’s role extends beyond drafting contracts; it involves strategic risk assessment, regulatory compliance consulting, and structuring deals that are tax-efficient and legally robust within the Malaysian jurisdiction. For instance, handling a cross-border merger requires intimate knowledge of both Malaysian securities laws and the regulations of the counterpart’s home country.</w:t>
      </w:r>
    </w:p>
    <w:p>
      <w:pPr>
        <w:numPr>
          <w:ilvl w:val="0"/>
          <w:numId w:val="1003"/>
        </w:numPr>
        <w:pStyle w:val="Compact"/>
      </w:pPr>
      <w:r>
        <w:t xml:space="preserve">Key statutes: Companies Act 2016, Securities Commission Malaysia guidelines.</w:t>
      </w:r>
    </w:p>
    <w:p>
      <w:pPr>
        <w:numPr>
          <w:ilvl w:val="0"/>
          <w:numId w:val="1003"/>
        </w:numPr>
        <w:pStyle w:val="Compact"/>
      </w:pPr>
      <w:r>
        <w:t xml:space="preserve">The demand for lawyers skilled in M&amp;A (Mergers and Acquisitions) due to FDI growth.</w:t>
      </w:r>
    </w:p>
    <w:p>
      <w:pPr>
        <w:numPr>
          <w:ilvl w:val="0"/>
          <w:numId w:val="1003"/>
        </w:numPr>
        <w:pStyle w:val="Compact"/>
      </w:pPr>
      <w:r>
        <w:t xml:space="preserve">The importance of corporate governance in maintaining investor confidence in Kuala Lumpur.</w:t>
      </w:r>
    </w:p>
    <w:p>
      <w:pPr>
        <w:pStyle w:val="FirstParagraph"/>
      </w:pPr>
      <w:r>
        <w:t xml:space="preserve">Slide 4: Islamic Finance and Shariah Compliance</w:t>
      </w:r>
    </w:p>
    <w:p>
      <w:pPr>
        <w:pStyle w:val="BodyText"/>
      </w:pPr>
      <w:r>
        <w:t xml:space="preserve">No discussion regarding the lawyer in Malaysia Kuala Lumpur is complete without addressing the nation’s robust Islamic Finance sector. Malaysia is a global leader in Islamic banking and finance, and Kuala Lumpur is home to numerous institutions such as Bank Negara Malaysia (the central bank) and various Islamic financial hubs. Lawyers specializing in this niche must possess dual competency: they must be well-versed in conventional commercial law while also possessing deep knowledge of Shariah principles as interpreted by the Shariah Advisory Council. This specialization allows lawyers to structure Sukuk bonds, Islamic insurance products (Takaful), and family wealth planning structures that comply with both civil law and religious jurisprudence. This unique legal requirement gives Malaysian lawyers a competitive edge in the broader Middle East and Southeast Asian markets, making them indispensable partners in global Islamic finance transactions.</w:t>
      </w:r>
    </w:p>
    <w:p>
      <w:pPr>
        <w:numPr>
          <w:ilvl w:val="0"/>
          <w:numId w:val="1004"/>
        </w:numPr>
        <w:pStyle w:val="Compact"/>
      </w:pPr>
      <w:r>
        <w:t xml:space="preserve">Integration of Shariah principles into conventional commercial contracts.</w:t>
      </w:r>
    </w:p>
    <w:p>
      <w:pPr>
        <w:numPr>
          <w:ilvl w:val="0"/>
          <w:numId w:val="1004"/>
        </w:numPr>
        <w:pStyle w:val="Compact"/>
      </w:pPr>
      <w:r>
        <w:t xml:space="preserve">The role of lawyers in structuring Sukuk issuances for international investors.</w:t>
      </w:r>
    </w:p>
    <w:p>
      <w:pPr>
        <w:numPr>
          <w:ilvl w:val="0"/>
          <w:numId w:val="1004"/>
        </w:numPr>
        <w:pStyle w:val="Compact"/>
      </w:pPr>
      <w:r>
        <w:t xml:space="preserve">Navigating the intersection between Civil Courts and Syariah Courts in Malaysia Kuala Lumpur.</w:t>
      </w:r>
    </w:p>
    <w:p>
      <w:pPr>
        <w:pStyle w:val="FirstParagraph"/>
      </w:pPr>
      <w:r>
        <w:t xml:space="preserve">Slide 5: Dispute Resolution and Alternative Dispute Resolution (ADR)</w:t>
      </w:r>
    </w:p>
    <w:p>
      <w:pPr>
        <w:pStyle w:val="BodyText"/>
      </w:pPr>
      <w:r>
        <w:t xml:space="preserve">In the realm of dispute resolution, lawyers in Malaysia Kuala Lumpur are increasingly turning to Alternative Dispute Resolution (ADR) mechanisms. While traditional litigation remains vital, particularly in the High Court and Court of Appeal located in Kuala Lumpur, there is a growing preference for arbitration and mediation due to their efficiency and confidentiality. The Asian International Arbitration Centre (AIAC), headquartered in Kuala Lumpur, is a premier institution for international arbitration. Lawyers here act as arbitrators or legal representatives, guiding clients through complex commercial disputes involving multinational entities. Effective lawyering in this context requires strong negotiation skills, procedural knowledge of the Arbitration Act 2005, and the ability to draft enforceable arbitration clauses that protect client interests across different jurisdictions.</w:t>
      </w:r>
    </w:p>
    <w:p>
      <w:pPr>
        <w:numPr>
          <w:ilvl w:val="0"/>
          <w:numId w:val="1005"/>
        </w:numPr>
        <w:pStyle w:val="Compact"/>
      </w:pPr>
      <w:r>
        <w:t xml:space="preserve">The rise of AIAC as a global center for arbitration hosted in Kuala Lumpur.</w:t>
      </w:r>
    </w:p>
    <w:p>
      <w:pPr>
        <w:numPr>
          <w:ilvl w:val="0"/>
          <w:numId w:val="1005"/>
        </w:numPr>
        <w:pStyle w:val="Compact"/>
      </w:pPr>
      <w:r>
        <w:t xml:space="preserve">Benefits of ADR over traditional litigation for commercial clients.</w:t>
      </w:r>
    </w:p>
    <w:p>
      <w:pPr>
        <w:numPr>
          <w:ilvl w:val="0"/>
          <w:numId w:val="1005"/>
        </w:numPr>
        <w:pStyle w:val="Compact"/>
      </w:pPr>
      <w:r>
        <w:t xml:space="preserve">The lawyer’s role in mediation and settlement negotiations to preserve business relationships.</w:t>
      </w:r>
    </w:p>
    <w:p>
      <w:pPr>
        <w:pStyle w:val="FirstParagraph"/>
      </w:pPr>
      <w:r>
        <w:t xml:space="preserve">Slide 6: Technology and Legal Innovation</w:t>
      </w:r>
    </w:p>
    <w:p>
      <w:pPr>
        <w:pStyle w:val="BodyText"/>
      </w:pPr>
      <w:r>
        <w:t xml:space="preserve">The modern lawyer in Malaysia Kuala Lumpur cannot ignore the impact of legal technology (LegalTech). The digital transformation of the legal sector has accelerated, driven by regulatory reforms that now allow for more flexible business structures and remote practice capabilities. Lawyers are utilizing cloud-based document management systems, AI-driven contract review software, and virtual court hearings facilitated by the Malaysian judiciary’s e-Courts initiative. Adaptability to these technologies is no longer optional but essential for maintaining competitiveness in Kuala Lumpur’s fast-paced market. Furthermore, data privacy laws such as the Personal Data Protection Act 2010 require lawyers to be vigilant about cybersecurity when handling sensitive client information stored digitally.</w:t>
      </w:r>
    </w:p>
    <w:p>
      <w:pPr>
        <w:numPr>
          <w:ilvl w:val="0"/>
          <w:numId w:val="1006"/>
        </w:numPr>
        <w:pStyle w:val="Compact"/>
      </w:pPr>
      <w:r>
        <w:t xml:space="preserve">Implementation of E-Courts and digital filing systems in Malaysian courts.</w:t>
      </w:r>
    </w:p>
    <w:p>
      <w:pPr>
        <w:numPr>
          <w:ilvl w:val="0"/>
          <w:numId w:val="1006"/>
        </w:numPr>
        <w:pStyle w:val="Compact"/>
      </w:pPr>
      <w:r>
        <w:t xml:space="preserve">The impact of AI on contract drafting and due diligence processes.</w:t>
      </w:r>
    </w:p>
    <w:p>
      <w:pPr>
        <w:numPr>
          <w:ilvl w:val="0"/>
          <w:numId w:val="1006"/>
        </w:numPr>
        <w:pStyle w:val="Compact"/>
      </w:pPr>
      <w:r>
        <w:t xml:space="preserve">Data protection compliance as a critical service offered by lawyers in Malaysia Kuala Lumpur.</w:t>
      </w:r>
    </w:p>
    <w:p>
      <w:pPr>
        <w:pStyle w:val="FirstParagraph"/>
      </w:pPr>
      <w:r>
        <w:t xml:space="preserve">Slide 7: Ethical Obligations and Professional Integrity</w:t>
      </w:r>
    </w:p>
    <w:p>
      <w:pPr>
        <w:pStyle w:val="BodyText"/>
      </w:pPr>
      <w:r>
        <w:t xml:space="preserve">Maintaining the highest standards of professional integrity is paramount for any lawyer practicing in Malaysia Kuala Lumpur. The legal profession is self-regulated, and breaches of ethics can lead to severe disciplinary actions, including striking off from the roll of advocates. Lawyers must adhere strictly to the Legal Profession (Practice and Etiquette) Rules 1978. In a competitive city like Kuala Lumpur, where pressure from clients to achieve favorable outcomes can be intense, lawyers must resist ethical compromises such as conflicts of interest or improper communication with opposing parties. Upholding the rule of law and ensuring access to justice are not just professional duties but moral imperatives that define the reputation of Malaysian legal practitioners on the global stage.</w:t>
      </w:r>
    </w:p>
    <w:p>
      <w:pPr>
        <w:numPr>
          <w:ilvl w:val="0"/>
          <w:numId w:val="1007"/>
        </w:numPr>
        <w:pStyle w:val="Compact"/>
      </w:pPr>
      <w:r>
        <w:t xml:space="preserve">Adherence to the Legal Profession (Practice and Etiquette) Rules.</w:t>
      </w:r>
    </w:p>
    <w:p>
      <w:pPr>
        <w:numPr>
          <w:ilvl w:val="0"/>
          <w:numId w:val="1007"/>
        </w:numPr>
        <w:pStyle w:val="Compact"/>
      </w:pPr>
      <w:r>
        <w:t xml:space="preserve">Maintaining confidentiality and client privilege in high-stakes commercial cases.</w:t>
      </w:r>
    </w:p>
    <w:p>
      <w:pPr>
        <w:numPr>
          <w:ilvl w:val="0"/>
          <w:numId w:val="1007"/>
        </w:numPr>
        <w:pStyle w:val="Compact"/>
      </w:pPr>
      <w:r>
        <w:t xml:space="preserve">The balance between aggressive advocacy and professional decorum.</w:t>
      </w:r>
    </w:p>
    <w:p>
      <w:pPr>
        <w:pStyle w:val="FirstParagraph"/>
      </w:pPr>
      <w:r>
        <w:t xml:space="preserve">Slide 8: Future Outlook for Lawyers in Malaysia Kuala Lumpur</w:t>
      </w:r>
    </w:p>
    <w:p>
      <w:pPr>
        <w:pStyle w:val="BodyText"/>
      </w:pPr>
      <w:r>
        <w:t xml:space="preserve">Looking ahead, the future for lawyers in Malaysia Kuala Lumpur is bright yet demanding. The city aims to solidify its position as a premier ASEAN legal hub. This requires continuous upskilling of legal professionals in emerging areas such as fintech, intellectual property rights in the digital age, and environmental law related to sustainability initiatives like the National Energy Transition Roadmap (NETR). Lawyers must evolve from being purely reactive litigators to proactive strategic partners who can anticipate legislative changes and market shifts. The integration of green finance laws and data sovereignty regulations will create new niches for specialized legal advice. Therefore, adaptability, continuous education, and a deep understanding of the socio-economic context of Malaysia Kuala Lumpur will be the defining traits of successful lawyers in the coming decade.</w:t>
      </w:r>
    </w:p>
    <w:p>
      <w:pPr>
        <w:numPr>
          <w:ilvl w:val="0"/>
          <w:numId w:val="1008"/>
        </w:numPr>
        <w:pStyle w:val="Compact"/>
      </w:pPr>
      <w:r>
        <w:t xml:space="preserve">Growing demand for expertise in green finance and environmental compliance.</w:t>
      </w:r>
    </w:p>
    <w:p>
      <w:pPr>
        <w:numPr>
          <w:ilvl w:val="0"/>
          <w:numId w:val="1008"/>
        </w:numPr>
        <w:pStyle w:val="Compact"/>
      </w:pPr>
      <w:r>
        <w:t xml:space="preserve">The expansion of intellectual property law due to digital economy growth.</w:t>
      </w:r>
    </w:p>
    <w:p>
      <w:pPr>
        <w:numPr>
          <w:ilvl w:val="0"/>
          <w:numId w:val="1008"/>
        </w:numPr>
        <w:pStyle w:val="Compact"/>
      </w:pPr>
      <w:r>
        <w:t xml:space="preserve">The need for continuous professional development (CPD) in a rapidly changing regulatory landscape.</w:t>
      </w:r>
    </w:p>
    <w:bookmarkStart w:id="20" w:name="conclusion"/>
    <w:p>
      <w:pPr>
        <w:pStyle w:val="Heading2"/>
      </w:pPr>
      <w:r>
        <w:t xml:space="preserve">Conclusion</w:t>
      </w:r>
    </w:p>
    <w:p>
      <w:pPr>
        <w:pStyle w:val="FirstParagraph"/>
      </w:pPr>
      <w:r>
        <w:t xml:space="preserve">In summary, the lawyer in Malaysia Kuala Lumpur plays a pivotal role in facilitating economic growth, ensuring justice, and maintaining legal order. From handling complex corporate transactions to navigating the unique landscape of Islamic Finance and leveraging technology for efficiency, these legal professionals are at the heart of Kuala Lumpur’s development. As we move forward, their ability to adapt to technological advancements and evolving regulatory frameworks will determine not only their individual success but also the continued prominence of Kuala Lumpur as a leading legal center in Asia.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Lawyer in Malaysia Kuala Lumpur</dc:title>
  <dc:creator/>
  <dc:language>en</dc:language>
  <cp:keywords/>
  <dcterms:created xsi:type="dcterms:W3CDTF">2026-07-29T22:12:20Z</dcterms:created>
  <dcterms:modified xsi:type="dcterms:W3CDTF">2026-07-29T22:12:20Z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