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w:t>
      </w:r>
      <w:r>
        <w:t xml:space="preserve"> </w:t>
      </w:r>
      <w:r>
        <w:t xml:space="preserve">France</w:t>
      </w:r>
      <w:r>
        <w:t xml:space="preserve"> </w:t>
      </w:r>
      <w:r>
        <w:t xml:space="preserve">Marseille</w:t>
      </w:r>
    </w:p>
    <w:bookmarkStart w:id="21" w:name="X120a20783dbd1a866d29392bec0876b07771714"/>
    <w:p>
      <w:pPr>
        <w:pStyle w:val="Heading1"/>
      </w:pPr>
      <w:r>
        <w:t xml:space="preserve">Seminar Presentation Slides: The Modern Medical Researcher</w:t>
      </w:r>
    </w:p>
    <w:bookmarkStart w:id="20" w:name="X02c9602c1890e63ebc1872e4fdd5e9d9135f0fc"/>
    <w:p>
      <w:pPr>
        <w:pStyle w:val="Heading2"/>
      </w:pPr>
      <w:r>
        <w:t xml:space="preserve">Focusing on the Strategic Hub of France Marseille</w:t>
      </w:r>
    </w:p>
    <w:p>
      <w:pPr>
        <w:pStyle w:val="FirstParagraph"/>
      </w:pPr>
      <w:r>
        <w:rPr>
          <w:bCs/>
          <w:b/>
        </w:rPr>
        <w:t xml:space="preserve">Presentation Context:</w:t>
      </w:r>
    </w:p>
    <w:p>
      <w:pPr>
        <w:pStyle w:val="BodyText"/>
      </w:pPr>
      <w:r>
        <w:t xml:space="preserve">This document outlines a comprehensive seminar presentation designed for an audience of academic peers, funding bodies, and healthcare administrators. The focus is placed specifically on the role and impact of the Medical Researcher within the unique ecosystem of France Marseille. This city serves not just as a geographical location, but as a vital node in European biomedical innovation.</w:t>
      </w:r>
    </w:p>
    <w:p>
      <w:pPr>
        <w:pStyle w:val="BodyText"/>
      </w:pPr>
      <w:r>
        <w:t xml:space="preserve">The seminar aims to explore how researchers operating in this specific region leverage local infrastructure, international collaboration, and historical scientific legacy to drive breakthroughs in human health.</w:t>
      </w:r>
    </w:p>
    <w:bookmarkEnd w:id="20"/>
    <w:bookmarkEnd w:id="21"/>
    <w:bookmarkStart w:id="23" w:name="Xf1ee4d9672548edb05f9ed29a89288337343ba4"/>
    <w:p>
      <w:pPr>
        <w:pStyle w:val="Heading1"/>
      </w:pPr>
      <w:r>
        <w:t xml:space="preserve">Introduction: The Evolving Landscape of Medical Research</w:t>
      </w:r>
    </w:p>
    <w:bookmarkStart w:id="22" w:name="the-role-of-the-medical-researcher-today"/>
    <w:p>
      <w:pPr>
        <w:pStyle w:val="Heading2"/>
      </w:pPr>
      <w:r>
        <w:t xml:space="preserve">The Role of the Medical Researcher Today</w:t>
      </w:r>
    </w:p>
    <w:p>
      <w:pPr>
        <w:numPr>
          <w:ilvl w:val="0"/>
          <w:numId w:val="1001"/>
        </w:numPr>
        <w:pStyle w:val="Compact"/>
      </w:pPr>
      <w:r>
        <w:rPr>
          <w:bCs/>
          <w:b/>
        </w:rPr>
        <w:t xml:space="preserve">Bridging Disciplines:</w:t>
      </w:r>
      <w:r>
        <w:t xml:space="preserve"> </w:t>
      </w:r>
      <w:r>
        <w:t xml:space="preserve">Modern medical researchers are no longer siloed. They act as integrators between basic biology, clinical practice, data science, and public health policy.</w:t>
      </w:r>
    </w:p>
    <w:p>
      <w:pPr>
        <w:numPr>
          <w:ilvl w:val="0"/>
          <w:numId w:val="1001"/>
        </w:numPr>
        <w:pStyle w:val="Compact"/>
      </w:pPr>
      <w:r>
        <w:rPr>
          <w:bCs/>
          <w:b/>
        </w:rPr>
        <w:t xml:space="preserve">Precision Medicine:</w:t>
      </w:r>
      <w:r>
        <w:t xml:space="preserve">The shift from generalized treatments to personalized care requires rigorous research into genetic markers and environmental factors.</w:t>
      </w:r>
    </w:p>
    <w:p>
      <w:pPr>
        <w:numPr>
          <w:ilvl w:val="0"/>
          <w:numId w:val="1001"/>
        </w:numPr>
        <w:pStyle w:val="Compact"/>
      </w:pPr>
      <w:r>
        <w:rPr>
          <w:bCs/>
          <w:b/>
        </w:rPr>
        <w:t xml:space="preserve">The France Marseille Context:</w:t>
      </w:r>
      <w:r>
        <w:t xml:space="preserve"> </w:t>
      </w:r>
      <w:r>
        <w:t xml:space="preserve">In the Mediterranean basin of France Marseille, researchers benefit from a distinct demographic diversity and a strong tradition in infectious disease, oncology, and neurodegenerative disorders. This seminar highlights how location influences research direction.</w:t>
      </w:r>
    </w:p>
    <w:bookmarkEnd w:id="22"/>
    <w:bookmarkEnd w:id="23"/>
    <w:bookmarkStart w:id="25" w:name="X228ebe457f155f04c8e5a9f8c872ded42d59867"/>
    <w:p>
      <w:pPr>
        <w:pStyle w:val="Heading1"/>
      </w:pPr>
      <w:r>
        <w:t xml:space="preserve">The France Marseille Ecosystem: A Strategic Advantage</w:t>
      </w:r>
    </w:p>
    <w:bookmarkStart w:id="24" w:name="X0b46f73f181db3e8125cfcd9d8972da93b7fa85"/>
    <w:p>
      <w:pPr>
        <w:pStyle w:val="Heading2"/>
      </w:pPr>
      <w:r>
        <w:t xml:space="preserve">Why Location Matters for Medical Researchers</w:t>
      </w:r>
    </w:p>
    <w:p>
      <w:pPr>
        <w:pStyle w:val="FirstParagraph"/>
      </w:pPr>
      <w:r>
        <w:t xml:space="preserve">The choice of base for a medical researcher is critical. France Marseille offers a unique convergence of resources:</w:t>
      </w:r>
    </w:p>
    <w:p>
      <w:pPr>
        <w:numPr>
          <w:ilvl w:val="0"/>
          <w:numId w:val="1002"/>
        </w:numPr>
        <w:pStyle w:val="Compact"/>
      </w:pPr>
      <w:r>
        <w:rPr>
          <w:bCs/>
          <w:b/>
        </w:rPr>
        <w:t xml:space="preserve">Institutional Hub:</w:t>
      </w:r>
      <w:r>
        <w:t xml:space="preserve">The presence of AP-HM (Assistance Publique – Hôpitaux de Marseille) provides immediate access to diverse patient populations and clinical trials, which is invaluable for translational research.</w:t>
      </w:r>
    </w:p>
    <w:p>
      <w:pPr>
        <w:numPr>
          <w:ilvl w:val="0"/>
          <w:numId w:val="1002"/>
        </w:numPr>
        <w:pStyle w:val="Compact"/>
      </w:pPr>
      <w:r>
        <w:rPr>
          <w:bCs/>
          <w:b/>
        </w:rPr>
        <w:t xml:space="preserve">CNRS and INSERM Integration:</w:t>
      </w:r>
      <w:r>
        <w:t xml:space="preserve">The proximity of national research centers allows for seamless collaboration between fundamental science and hospital-based applications.</w:t>
      </w:r>
    </w:p>
    <w:p>
      <w:pPr>
        <w:numPr>
          <w:ilvl w:val="0"/>
          <w:numId w:val="1002"/>
        </w:numPr>
        <w:pStyle w:val="Compact"/>
      </w:pPr>
      <w:r>
        <w:rPr>
          <w:bCs/>
          <w:b/>
        </w:rPr>
        <w:t xml:space="preserve">Mediterranean Health Profile:</w:t>
      </w:r>
      <w:r>
        <w:t xml:space="preserve">The specific health challenges prevalent in the region, such as certain tropical diseases imported via trade routes or lifestyle-related conditions, shape unique research portfolios that are relevant to a global audience.</w:t>
      </w:r>
    </w:p>
    <w:bookmarkEnd w:id="24"/>
    <w:bookmarkEnd w:id="25"/>
    <w:bookmarkStart w:id="27" w:name="key-areas-of-research-excellence"/>
    <w:p>
      <w:pPr>
        <w:pStyle w:val="Heading1"/>
      </w:pPr>
      <w:r>
        <w:t xml:space="preserve">Key Areas of Research Excellence</w:t>
      </w:r>
    </w:p>
    <w:bookmarkStart w:id="26" w:name="specializations-in-the-region"/>
    <w:p>
      <w:pPr>
        <w:pStyle w:val="Heading2"/>
      </w:pPr>
      <w:r>
        <w:t xml:space="preserve">Specializations in the Region</w:t>
      </w:r>
    </w:p>
    <w:p>
      <w:pPr>
        <w:pStyle w:val="FirstParagraph"/>
      </w:pPr>
      <w:r>
        <w:t xml:space="preserve">The Medical Researcher in this sector often focuses on high-impact areas where France Marseille has established global leadership:</w:t>
      </w:r>
    </w:p>
    <w:p>
      <w:pPr>
        <w:numPr>
          <w:ilvl w:val="0"/>
          <w:numId w:val="1003"/>
        </w:numPr>
        <w:pStyle w:val="Compact"/>
      </w:pPr>
      <w:r>
        <w:rPr>
          <w:bCs/>
          <w:b/>
        </w:rPr>
        <w:t xml:space="preserve">Infectious Diseases and Virology:</w:t>
      </w:r>
      <w:r>
        <w:t xml:space="preserve"> </w:t>
      </w:r>
      <w:r>
        <w:t xml:space="preserve">Building on historical precedents, current research focuses on emerging pathogens, vaccine development, and antimicrobial resistance.</w:t>
      </w:r>
    </w:p>
    <w:p>
      <w:pPr>
        <w:numPr>
          <w:ilvl w:val="0"/>
          <w:numId w:val="1003"/>
        </w:numPr>
        <w:pStyle w:val="Compact"/>
      </w:pPr>
      <w:r>
        <w:rPr>
          <w:bCs/>
          <w:b/>
        </w:rPr>
        <w:t xml:space="preserve">Oncology and Immunotherapy:</w:t>
      </w:r>
      <w:r>
        <w:t xml:space="preserve"> </w:t>
      </w:r>
      <w:r>
        <w:t xml:space="preserve">Advanced studies in tumor microenvironments are being conducted with significant funding support from regional health agencies.</w:t>
      </w:r>
    </w:p>
    <w:p>
      <w:pPr>
        <w:numPr>
          <w:ilvl w:val="0"/>
          <w:numId w:val="1003"/>
        </w:numPr>
        <w:pStyle w:val="Compact"/>
      </w:pPr>
      <w:r>
        <w:rPr>
          <w:bCs/>
          <w:b/>
        </w:rPr>
        <w:t xml:space="preserve">Neurodegenerative Diseases:</w:t>
      </w:r>
      <w:r>
        <w:t xml:space="preserve">Cognitive research initiatives are leveraging advanced imaging technologies to understand Alzheimer’s and Parkinson’s diseases, utilizing the local university hospitals for longitudinal studies.</w:t>
      </w:r>
    </w:p>
    <w:bookmarkEnd w:id="26"/>
    <w:bookmarkEnd w:id="27"/>
    <w:bookmarkStart w:id="29" w:name="data-science-and-digital-health"/>
    <w:p>
      <w:pPr>
        <w:pStyle w:val="Heading1"/>
      </w:pPr>
      <w:r>
        <w:t xml:space="preserve">Data Science and Digital Health</w:t>
      </w:r>
    </w:p>
    <w:bookmarkStart w:id="28" w:name="Xf2af6eba184a435c1c59d381c4bb61efd4fad8f"/>
    <w:p>
      <w:pPr>
        <w:pStyle w:val="Heading2"/>
      </w:pPr>
      <w:r>
        <w:t xml:space="preserve">The Fourth Industrial Revolution in Medicine</w:t>
      </w:r>
    </w:p>
    <w:p>
      <w:pPr>
        <w:pStyle w:val="FirstParagraph"/>
      </w:pPr>
      <w:r>
        <w:t xml:space="preserve">A contemporary Medical Researcher must be proficient in digital methodologies. In France Marseille, this is facilitated by strong IT infrastructure partnerships.</w:t>
      </w:r>
    </w:p>
    <w:p>
      <w:pPr>
        <w:numPr>
          <w:ilvl w:val="0"/>
          <w:numId w:val="1004"/>
        </w:numPr>
        <w:pStyle w:val="Compact"/>
      </w:pPr>
      <w:r>
        <w:rPr>
          <w:bCs/>
          <w:b/>
        </w:rPr>
        <w:t xml:space="preserve">Bioinformatics:</w:t>
      </w:r>
      <w:r>
        <w:t xml:space="preserve">Analyzing large genomic datasets to identify biomarkers for early disease detection.</w:t>
      </w:r>
    </w:p>
    <w:p>
      <w:pPr>
        <w:numPr>
          <w:ilvl w:val="0"/>
          <w:numId w:val="1004"/>
        </w:numPr>
        <w:pStyle w:val="Compact"/>
      </w:pPr>
      <w:r>
        <w:rPr>
          <w:bCs/>
          <w:b/>
        </w:rPr>
        <w:t xml:space="preserve">AI in Diagnostics:</w:t>
      </w:r>
      <w:r>
        <w:t xml:space="preserve">Collaborations with tech startups and engineering schools in the region are leading to AI-driven diagnostic tools that assist clinicians in real-time.</w:t>
      </w:r>
    </w:p>
    <w:p>
      <w:pPr>
        <w:numPr>
          <w:ilvl w:val="0"/>
          <w:numId w:val="1004"/>
        </w:numPr>
        <w:pStyle w:val="Compact"/>
      </w:pPr>
      <w:r>
        <w:rPr>
          <w:bCs/>
          <w:b/>
        </w:rPr>
        <w:t xml:space="preserve">E-Health Integration:</w:t>
      </w:r>
      <w:r>
        <w:t xml:space="preserve">The digitization of patient records allows for retrospective studies that were previously impossible, enhancing the speed at which researchers can publish findings and influence policy.</w:t>
      </w:r>
    </w:p>
    <w:bookmarkEnd w:id="28"/>
    <w:bookmarkEnd w:id="29"/>
    <w:bookmarkStart w:id="31" w:name="X468a3e23a7ce714126af8f076af85d52b159731"/>
    <w:p>
      <w:pPr>
        <w:pStyle w:val="Heading1"/>
      </w:pPr>
      <w:r>
        <w:t xml:space="preserve">Ethical Considerations and Patient Centricity</w:t>
      </w:r>
    </w:p>
    <w:bookmarkStart w:id="30" w:name="the-human-element-of-research"/>
    <w:p>
      <w:pPr>
        <w:pStyle w:val="Heading2"/>
      </w:pPr>
      <w:r>
        <w:t xml:space="preserve">The Human Element of Research</w:t>
      </w:r>
    </w:p>
    <w:p>
      <w:pPr>
        <w:pStyle w:val="FirstParagraph"/>
      </w:pPr>
      <w:r>
        <w:t xml:space="preserve">The work of the Medical Researcher is deeply intertwined with ethical responsibilities. In the multicultural setting of France Marseille, these considerations are heightened.</w:t>
      </w:r>
    </w:p>
    <w:p>
      <w:pPr>
        <w:numPr>
          <w:ilvl w:val="0"/>
          <w:numId w:val="1005"/>
        </w:numPr>
        <w:pStyle w:val="Compact"/>
      </w:pPr>
      <w:r>
        <w:rPr>
          <w:bCs/>
          <w:b/>
        </w:rPr>
        <w:t xml:space="preserve">Informed Consent:</w:t>
      </w:r>
    </w:p>
    <w:p>
      <w:pPr>
        <w:numPr>
          <w:ilvl w:val="0"/>
          <w:numId w:val="1005"/>
        </w:numPr>
        <w:pStyle w:val="Compact"/>
      </w:pPr>
      <w:r>
        <w:rPr>
          <w:bCs/>
          <w:b/>
        </w:rPr>
        <w:t xml:space="preserve">Data Privacy:</w:t>
      </w:r>
    </w:p>
    <w:p>
      <w:pPr>
        <w:numPr>
          <w:ilvl w:val="0"/>
          <w:numId w:val="1005"/>
        </w:numPr>
        <w:pStyle w:val="Compact"/>
      </w:pPr>
      <w:r>
        <w:t xml:space="preserve">Social Responsibility:The researcher must consider how their findings impact community health equity. Accessible healthcare remains a core value in the French system, influencing research goals toward broader public benefit rather than purely commercial outcomes.</w:t>
      </w:r>
    </w:p>
    <w:bookmarkEnd w:id="30"/>
    <w:bookmarkEnd w:id="31"/>
    <w:bookmarkStart w:id="33" w:name="funding-and-collaboration-networks"/>
    <w:p>
      <w:pPr>
        <w:pStyle w:val="Heading1"/>
      </w:pPr>
      <w:r>
        <w:t xml:space="preserve">Funding and Collaboration Networks</w:t>
      </w:r>
    </w:p>
    <w:bookmarkStart w:id="32" w:name="sustaining-the-research-agenda"/>
    <w:p>
      <w:pPr>
        <w:pStyle w:val="Heading2"/>
      </w:pPr>
      <w:r>
        <w:t xml:space="preserve">Sustaining the Research Agenda</w:t>
      </w:r>
    </w:p>
    <w:p>
      <w:pPr>
        <w:pStyle w:val="FirstParagraph"/>
      </w:pPr>
      <w:r>
        <w:t xml:space="preserve">To remain effective, a Medical Researcher must navigate complex funding landscapes. The France Marseille ecosystem offers several pathways:</w:t>
      </w:r>
    </w:p>
    <w:p>
      <w:pPr>
        <w:numPr>
          <w:ilvl w:val="0"/>
          <w:numId w:val="1006"/>
        </w:numPr>
        <w:pStyle w:val="Compact"/>
      </w:pPr>
      <w:r>
        <w:rPr>
          <w:bCs/>
          <w:b/>
        </w:rPr>
        <w:t xml:space="preserve">European Grants:</w:t>
      </w:r>
      <w:r>
        <w:t xml:space="preserve">Horizon Europe programs provide substantial resources for cross-border collaboration.</w:t>
      </w:r>
    </w:p>
    <w:p>
      <w:pPr>
        <w:numPr>
          <w:ilvl w:val="0"/>
          <w:numId w:val="1006"/>
        </w:numPr>
        <w:pStyle w:val="Compact"/>
      </w:pPr>
      <w:r>
        <w:rPr>
          <w:bCs/>
          <w:b/>
        </w:rPr>
        <w:t xml:space="preserve">National Funding:</w:t>
      </w:r>
      <w:r>
        <w:t xml:space="preserve">The Agence Nationale de la Recherche (ANR) supports innovative projects with high scientific risk and potential societal impact.</w:t>
      </w:r>
    </w:p>
    <w:p>
      <w:pPr>
        <w:numPr>
          <w:ilvl w:val="0"/>
          <w:numId w:val="1006"/>
        </w:numPr>
        <w:pStyle w:val="Compact"/>
      </w:pPr>
      <w:r>
        <w:rPr>
          <w:bCs/>
          <w:b/>
        </w:rPr>
        <w:t xml:space="preserve">Industry Partnerships:</w:t>
      </w:r>
      <w:r>
        <w:t xml:space="preserve">Tech and pharmaceutical companies are increasingly partnering with academic researchers in the region to translate laboratory discoveries into marketable therapies.</w:t>
      </w:r>
    </w:p>
    <w:bookmarkEnd w:id="32"/>
    <w:bookmarkEnd w:id="33"/>
    <w:bookmarkStart w:id="35" w:name="Xa8dcc658e11de52d05c33c02716c625df052d50"/>
    <w:p>
      <w:pPr>
        <w:pStyle w:val="Heading1"/>
      </w:pPr>
      <w:r>
        <w:t xml:space="preserve">The Future Horizon: Global Health Challenges</w:t>
      </w:r>
    </w:p>
    <w:bookmarkStart w:id="34" w:name="sustainability-and-pandemic-preparedness"/>
    <w:p>
      <w:pPr>
        <w:pStyle w:val="Heading2"/>
      </w:pPr>
      <w:r>
        <w:t xml:space="preserve">Sustainability and Pandemic Preparedness</w:t>
      </w:r>
    </w:p>
    <w:p>
      <w:pPr>
        <w:pStyle w:val="FirstParagraph"/>
      </w:pPr>
      <w:r>
        <w:t xml:space="preserve">The next decade for medical researchers will be defined by resilience. The lessons learned from recent global health crises are being integrated into research frameworks in France Marseille.</w:t>
      </w:r>
    </w:p>
    <w:p>
      <w:pPr>
        <w:numPr>
          <w:ilvl w:val="0"/>
          <w:numId w:val="1007"/>
        </w:numPr>
        <w:pStyle w:val="Compact"/>
      </w:pPr>
      <w:r>
        <w:rPr>
          <w:bCs/>
          <w:b/>
        </w:rPr>
        <w:t xml:space="preserve">Pandemic Response:</w:t>
      </w:r>
      <w:r>
        <w:t xml:space="preserve">Rapid deployment of vaccine technologies and surveillance systems.</w:t>
      </w:r>
    </w:p>
    <w:p>
      <w:pPr>
        <w:numPr>
          <w:ilvl w:val="0"/>
          <w:numId w:val="1007"/>
        </w:numPr>
        <w:pStyle w:val="Compact"/>
      </w:pPr>
      <w:r>
        <w:rPr>
          <w:bCs/>
          <w:b/>
        </w:rPr>
        <w:t xml:space="preserve">Climatic Health Impacts:</w:t>
      </w:r>
    </w:p>
    <w:p>
      <w:pPr>
        <w:numPr>
          <w:ilvl w:val="0"/>
          <w:numId w:val="1007"/>
        </w:numPr>
        <w:pStyle w:val="Compact"/>
      </w:pPr>
      <w:r>
        <w:t xml:space="preserve">Mental Health:An increasing focus on the psychological toll of healthcare work and societal stressors, requiring a holistic approach to medical research.</w:t>
      </w:r>
    </w:p>
    <w:bookmarkEnd w:id="34"/>
    <w:bookmarkEnd w:id="35"/>
    <w:bookmarkStart w:id="37" w:name="Xdc596e60223d1be39532c6eb8eaf55d3c99bea5"/>
    <w:p>
      <w:pPr>
        <w:pStyle w:val="Heading1"/>
      </w:pPr>
      <w:r>
        <w:t xml:space="preserve">Conclusion: The Researcher as a Catalyst for Change</w:t>
      </w:r>
    </w:p>
    <w:bookmarkStart w:id="36" w:name="synthesizing-the-seminar-points"/>
    <w:p>
      <w:pPr>
        <w:pStyle w:val="Heading2"/>
      </w:pPr>
      <w:r>
        <w:t xml:space="preserve">Synthesizing the Seminar Points</w:t>
      </w:r>
    </w:p>
    <w:p>
      <w:pPr>
        <w:pStyle w:val="FirstParagraph"/>
      </w:pPr>
      <w:r>
        <w:t xml:space="preserve">In conclusion, the role of the Medical Researcher in France Marseille is multifaceted. It combines scientific rigor with social responsibility and international collaboration.</w:t>
      </w:r>
    </w:p>
    <w:p>
      <w:pPr>
        <w:numPr>
          <w:ilvl w:val="0"/>
          <w:numId w:val="1008"/>
        </w:numPr>
        <w:pStyle w:val="Compact"/>
      </w:pPr>
      <w:r>
        <w:t xml:space="preserve">The region provides a robust infrastructure that supports high-quality clinical and basic research.</w:t>
      </w:r>
    </w:p>
    <w:p>
      <w:pPr>
        <w:numPr>
          <w:ilvl w:val="0"/>
          <w:numId w:val="1008"/>
        </w:numPr>
        <w:pStyle w:val="Compact"/>
      </w:pPr>
      <w:r>
        <w:t xml:space="preserve">Diversity in both population and discipline fosters innovative solutions to complex health problems.</w:t>
      </w:r>
    </w:p>
    <w:p>
      <w:pPr>
        <w:numPr>
          <w:ilvl w:val="0"/>
          <w:numId w:val="1008"/>
        </w:numPr>
        <w:pStyle w:val="Compact"/>
      </w:pPr>
      <w:r>
        <w:t xml:space="preserve">The commitment to ethical practice ensures that scientific progress translates into tangible improvements in patient care.</w:t>
      </w:r>
    </w:p>
    <w:p>
      <w:pPr>
        <w:pStyle w:val="FirstParagraph"/>
      </w:pPr>
      <w:r>
        <w:t xml:space="preserve">We encourage continued investment in this ecosystem, as it serves as a model for how regional hubs can contribute to global medical advancement.</w:t>
      </w:r>
    </w:p>
    <w:bookmarkEnd w:id="36"/>
    <w:bookmarkEnd w:id="37"/>
    <w:bookmarkStart w:id="39" w:name="acknowledgments-and-questions"/>
    <w:p>
      <w:pPr>
        <w:pStyle w:val="Heading1"/>
      </w:pPr>
      <w:r>
        <w:t xml:space="preserve">Acknowledgments and Questions</w:t>
      </w:r>
    </w:p>
    <w:bookmarkStart w:id="38" w:name="thank-you"/>
    <w:p>
      <w:pPr>
        <w:pStyle w:val="Heading2"/>
      </w:pPr>
      <w:r>
        <w:t xml:space="preserve">Thank You</w:t>
      </w:r>
    </w:p>
    <w:p>
      <w:pPr>
        <w:pStyle w:val="FirstParagraph"/>
      </w:pPr>
      <w:r>
        <w:t xml:space="preserve">We acknowledge the contributions of the various laboratories, hospitals, and funding agencies that make this research possible.</w:t>
      </w:r>
    </w:p>
    <w:p>
      <w:pPr>
        <w:numPr>
          <w:ilvl w:val="0"/>
          <w:numId w:val="1009"/>
        </w:numPr>
        <w:pStyle w:val="Compact"/>
      </w:pPr>
      <w:r>
        <w:rPr>
          <w:bCs/>
          <w:b/>
        </w:rPr>
        <w:t xml:space="preserve">Contact Information:</w:t>
      </w:r>
      <w:r>
        <w:t xml:space="preserve">Please direct inquiries regarding collaboration opportunities in France Marseille to our administrative office.</w:t>
      </w:r>
    </w:p>
    <w:p>
      <w:pPr>
        <w:numPr>
          <w:ilvl w:val="0"/>
          <w:numId w:val="1009"/>
        </w:numPr>
        <w:pStyle w:val="Compact"/>
      </w:pPr>
      <w:r>
        <w:rPr>
          <w:bCs/>
          <w:b/>
        </w:rPr>
        <w:t xml:space="preserve">Q&amp;A Session:</w:t>
      </w:r>
      <w:r>
        <w:t xml:space="preserve">We now open the floor for questions regarding specific methodologies, funding applications, or future research directions discussed in this presentation.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 France Marseille</dc:title>
  <dc:creator/>
  <dc:language>en</dc:language>
  <cp:keywords/>
  <dcterms:created xsi:type="dcterms:W3CDTF">2026-07-29T16:27:15Z</dcterms:created>
  <dcterms:modified xsi:type="dcterms:W3CDTF">2026-07-29T16:27:15Z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