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Midwife</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X883c5251446d477274a594b19f3b3f801eef788"/>
    <w:p>
      <w:pPr>
        <w:pStyle w:val="Heading2"/>
      </w:pPr>
      <w:r>
        <w:t xml:space="preserve">Slide 1: Title &amp; Introduction to the Seminar Presentation Slides</w:t>
      </w:r>
    </w:p>
    <w:p>
      <w:pPr>
        <w:pStyle w:val="FirstParagraph"/>
      </w:pPr>
      <w:r>
        <w:t xml:space="preserve">Welcome to this structured seminar presentation slides document, which examines the critical contributions of a Midwife within the rapidly evolving maternal healthcare landscape of Vietnam Ho Chi Minh City. This session is specifically designed for clinical administrators, nursing educators, public health policymakers, and community health stakeholders who seek to optimize maternity service delivery in one of Southeast Asia's most densely populated metropolitan regions. Throughout these seminar presentation slides, we will systematically analyze workforce capacity building, clinical protocols, cultural considerations, and institutional partnerships that directly impact maternal and newborn survival rates. By focusing on the professional trajectory of a Midwife in Vietnam Ho Chi Minh City, participants will gain evidence-based insights that can be translated into actionable quality improvement initiatives across urban clinics and district health centers.</w:t>
      </w:r>
    </w:p>
    <w:bookmarkEnd w:id="20"/>
    <w:bookmarkStart w:id="21" w:name="X6259e1a3399386d03013a8040e477f055a2d7fb"/>
    <w:p>
      <w:pPr>
        <w:pStyle w:val="Heading2"/>
      </w:pPr>
      <w:r>
        <w:t xml:space="preserve">Slide 2: Core Competencies &amp; Scope of Practice for a Midwife</w:t>
      </w:r>
    </w:p>
    <w:p>
      <w:pPr>
        <w:numPr>
          <w:ilvl w:val="0"/>
          <w:numId w:val="1001"/>
        </w:numPr>
        <w:pStyle w:val="Compact"/>
      </w:pPr>
      <w:r>
        <w:t xml:space="preserve">A Midwife is legally recognized as an independent practitioner responsible for comprehensive prenatal assessment, normal labor management, immediate newborn care, and postpartum follow-up protocols.</w:t>
      </w:r>
    </w:p>
    <w:p>
      <w:pPr>
        <w:numPr>
          <w:ilvl w:val="0"/>
          <w:numId w:val="1001"/>
        </w:numPr>
        <w:pStyle w:val="Compact"/>
      </w:pPr>
      <w:r>
        <w:t xml:space="preserve">Clinical competencies include risk stratification, emergency obstetric recognition, lactation counseling, contraceptive education, and psychosocial support during reproductive life transitions.</w:t>
      </w:r>
    </w:p>
    <w:p>
      <w:pPr>
        <w:numPr>
          <w:ilvl w:val="0"/>
          <w:numId w:val="1001"/>
        </w:numPr>
        <w:pStyle w:val="Compact"/>
      </w:pPr>
      <w:r>
        <w:t xml:space="preserve">In Vietnam Ho Chi Minh City's urban health network, a Midwife operates within multidisciplinary teams alongside obstetricians, pediatricians, and community nurses to ensure seamless care continuity.</w:t>
      </w:r>
    </w:p>
    <w:p>
      <w:pPr>
        <w:numPr>
          <w:ilvl w:val="0"/>
          <w:numId w:val="1001"/>
        </w:numPr>
        <w:pStyle w:val="Compact"/>
      </w:pPr>
      <w:r>
        <w:t xml:space="preserve">Evidence-based practice mandates that every Midwife utilizes standardized clinical guidelines while adapting interventions to individual patient needs and socioeconomic backgrounds.</w:t>
      </w:r>
    </w:p>
    <w:p>
      <w:pPr>
        <w:pStyle w:val="FirstParagraph"/>
      </w:pPr>
      <w:r>
        <w:t xml:space="preserve">This foundational overview establishes the professional standards expected of a Midwife. Understanding these competencies is essential before evaluating how Vietnam Ho Chi Minh City structures its maternity workforce and allocates resources across district-level facilities.</w:t>
      </w:r>
    </w:p>
    <w:bookmarkEnd w:id="21"/>
    <w:bookmarkStart w:id="22" w:name="X998df835edf408175a97af4a15fc588e4440a00"/>
    <w:p>
      <w:pPr>
        <w:pStyle w:val="Heading2"/>
      </w:pPr>
      <w:r>
        <w:t xml:space="preserve">Slide 3: Healthcare Infrastructure &amp; Service Delivery in Vietnam Ho Chi Minh City</w:t>
      </w:r>
    </w:p>
    <w:p>
      <w:pPr>
        <w:pStyle w:val="FirstParagraph"/>
      </w:pPr>
      <w:r>
        <w:t xml:space="preserve">Vietnam Ho Chi Minh City maintains a tiered healthcare system comprising general hospitals, specialized obstetric centers, community health stations, and private maternity clinics.</w:t>
      </w:r>
    </w:p>
    <w:p>
      <w:pPr>
        <w:pStyle w:val="BodyText"/>
      </w:pPr>
      <w:r>
        <w:t xml:space="preserve">A Midwife serves as the primary point of contact for routine maternal visits in district-level facilities, reducing overcrowding at tertiary referral hospitals.</w:t>
      </w:r>
    </w:p>
    <w:p>
      <w:pPr>
        <w:pStyle w:val="BodyText"/>
      </w:pPr>
      <w:r>
        <w:t xml:space="preserve">Government-funded initiatives have expanded accessible prenatal screening programs across urban wards, ensuring that a Midwife can monitor high-risk pregnancies early in gestation.</w:t>
      </w:r>
    </w:p>
    <w:p>
      <w:pPr>
        <w:pStyle w:val="BodyText"/>
      </w:pPr>
      <w:r>
        <w:t xml:space="preserve">Digital health integration allows real-time data sharing between primary care clinics and central hospitals, improving referral accuracy when complex complications</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Midwife in Vietnam Ho Chi Minh City</dc:title>
  <dc:creator/>
  <dc:language>en</dc:language>
  <cp:keywords/>
  <dcterms:created xsi:type="dcterms:W3CDTF">2026-07-29T17:41:21Z</dcterms:created>
  <dcterms:modified xsi:type="dcterms:W3CDTF">2026-07-29T17:41:21Z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