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Seminar</w:t>
      </w:r>
      <w:r>
        <w:t xml:space="preserve"> </w:t>
      </w:r>
      <w:r>
        <w:t xml:space="preserve">Presentation:</w:t>
      </w:r>
      <w:r>
        <w:t xml:space="preserve"> </w:t>
      </w:r>
      <w:r>
        <w:t xml:space="preserve">Ophthalmology</w:t>
      </w:r>
      <w:r>
        <w:t xml:space="preserve"> </w:t>
      </w:r>
      <w:r>
        <w:t xml:space="preserve">in</w:t>
      </w:r>
      <w:r>
        <w:t xml:space="preserve"> </w:t>
      </w:r>
      <w:r>
        <w:t xml:space="preserve">Germany</w:t>
      </w:r>
      <w:r>
        <w:t xml:space="preserve"> </w:t>
      </w:r>
      <w:r>
        <w:t xml:space="preserve">Frankfurt</w:t>
      </w:r>
    </w:p>
    <w:bookmarkStart w:id="20" w:name="seminar-presentation-slides"/>
    <w:p>
      <w:pPr>
        <w:pStyle w:val="Heading1"/>
      </w:pPr>
      <w:r>
        <w:t xml:space="preserve">Seminar Presentation Slides</w:t>
      </w:r>
    </w:p>
    <w:p>
      <w:pPr>
        <w:pStyle w:val="FirstParagraph"/>
      </w:pPr>
      <w:r>
        <w:rPr>
          <w:bCs/>
          <w:b/>
        </w:rPr>
        <w:t xml:space="preserve">Title:</w:t>
      </w:r>
      <w:r>
        <w:t xml:space="preserve"> </w:t>
      </w:r>
      <w:r>
        <w:t xml:space="preserve">Advancements in Ophthalmology: A Focus on Germany Frankfurt</w:t>
      </w:r>
    </w:p>
    <w:p>
      <w:pPr>
        <w:pStyle w:val="BodyText"/>
      </w:pPr>
      <w:r>
        <w:rPr>
          <w:bCs/>
          <w:b/>
        </w:rPr>
        <w:t xml:space="preserve">Audience:</w:t>
      </w:r>
      <w:r>
        <w:t xml:space="preserve"> </w:t>
      </w:r>
      <w:r>
        <w:t xml:space="preserve">Medical Professionals, Students, and Healthcare Stakeholders</w:t>
      </w:r>
    </w:p>
    <w:bookmarkEnd w:id="20"/>
    <w:p>
      <w:pPr>
        <w:pStyle w:val="BodyText"/>
      </w:pPr>
      <w:r>
        <w:t xml:space="preserve">Slide 1: Introduction</w:t>
      </w:r>
    </w:p>
    <w:bookmarkStart w:id="21" w:name="welcome-to-the-seminar"/>
    <w:p>
      <w:pPr>
        <w:pStyle w:val="Heading2"/>
      </w:pPr>
      <w:r>
        <w:t xml:space="preserve">Welcome to the Seminar</w:t>
      </w:r>
    </w:p>
    <w:p>
      <w:pPr>
        <w:pStyle w:val="FirstParagraph"/>
      </w:pPr>
      <w:r>
        <w:rPr>
          <w:bCs/>
          <w:b/>
        </w:rPr>
        <w:t xml:space="preserve">Purpose of Presentation:</w:t>
      </w:r>
    </w:p>
    <w:p>
      <w:pPr>
        <w:numPr>
          <w:ilvl w:val="0"/>
          <w:numId w:val="1001"/>
        </w:numPr>
        <w:pStyle w:val="Compact"/>
      </w:pPr>
      <w:r>
        <w:t xml:space="preserve">To provide a comprehensive overview of the current landscape of ophthalmology.</w:t>
      </w:r>
    </w:p>
    <w:p>
      <w:pPr>
        <w:numPr>
          <w:ilvl w:val="0"/>
          <w:numId w:val="1001"/>
        </w:numPr>
        <w:pStyle w:val="Compact"/>
      </w:pPr>
      <w:r>
        <w:t xml:space="preserve">To highlight specific advancements and challenges within Germany Frankfurt.</w:t>
      </w:r>
    </w:p>
    <w:p>
      <w:pPr>
        <w:numPr>
          <w:ilvl w:val="0"/>
          <w:numId w:val="1001"/>
        </w:numPr>
        <w:pStyle w:val="Compact"/>
      </w:pPr>
      <w:r>
        <w:t xml:space="preserve">To discuss the role technology plays in modern eye care delivery in this major European hub.</w:t>
      </w:r>
    </w:p>
    <w:p>
      <w:pPr>
        <w:pStyle w:val="FirstParagraph"/>
      </w:pPr>
      <w:r>
        <w:rPr>
          <w:bCs/>
          <w:b/>
        </w:rPr>
        <w:t xml:space="preserve">Why Germany Frankfurt?</w:t>
      </w:r>
    </w:p>
    <w:p>
      <w:pPr>
        <w:pStyle w:val="BodyText"/>
      </w:pPr>
      <w:r>
        <w:t xml:space="preserve">This presentation specifically targets the unique medical ecosystem of Germany Frankfurt. As a central financial and transport hub, it hosts some of Europe's most advanced medical institutions. Understanding the ophthalmological practices here is crucial for anyone interested in European healthcare standards.</w:t>
      </w:r>
    </w:p>
    <w:bookmarkEnd w:id="21"/>
    <w:p>
      <w:pPr>
        <w:pStyle w:val="BodyText"/>
      </w:pPr>
      <w:r>
        <w:t xml:space="preserve">Slide 2: The Role of an Ophthalmologist</w:t>
      </w:r>
    </w:p>
    <w:bookmarkStart w:id="23" w:name="defining-the-ophthalmologists-scope"/>
    <w:p>
      <w:pPr>
        <w:pStyle w:val="Heading2"/>
      </w:pPr>
      <w:r>
        <w:t xml:space="preserve">Defining the Ophthalmologist's Scope</w:t>
      </w:r>
    </w:p>
    <w:p>
      <w:pPr>
        <w:pStyle w:val="FirstParagraph"/>
      </w:pPr>
      <w:r>
        <w:t xml:space="preserve">An ophthalmologist is a medical doctor who specializes in eye and vision care. Unlike optometrists, ophthalmologists can perform surgery and prescribe medication.</w:t>
      </w:r>
    </w:p>
    <w:bookmarkStart w:id="22" w:name="key-responsibilities"/>
    <w:p>
      <w:pPr>
        <w:pStyle w:val="Heading3"/>
      </w:pPr>
      <w:r>
        <w:t xml:space="preserve">Key Responsibilities:</w:t>
      </w:r>
    </w:p>
    <w:p>
      <w:pPr>
        <w:numPr>
          <w:ilvl w:val="0"/>
          <w:numId w:val="1002"/>
        </w:numPr>
        <w:pStyle w:val="Compact"/>
      </w:pPr>
      <w:r>
        <w:rPr>
          <w:bCs/>
          <w:b/>
        </w:rPr>
        <w:t xml:space="preserve">Disease Diagnosis:</w:t>
      </w:r>
      <w:r>
        <w:t xml:space="preserve"> </w:t>
      </w:r>
      <w:r>
        <w:t xml:space="preserve">Identifying conditions such as glaucoma, cataracts, macular degeneration, and diabetic retinopathy.</w:t>
      </w:r>
    </w:p>
    <w:p>
      <w:pPr>
        <w:numPr>
          <w:ilvl w:val="0"/>
          <w:numId w:val="1002"/>
        </w:numPr>
        <w:pStyle w:val="Compact"/>
      </w:pPr>
      <w:r>
        <w:t xml:space="preserve">: Performing laser surgery, cataract removal (phacoemulsification), and corneal transplants.</w:t>
      </w:r>
    </w:p>
    <w:p>
      <w:pPr>
        <w:numPr>
          <w:ilvl w:val="0"/>
          <w:numId w:val="1002"/>
        </w:numPr>
        <w:pStyle w:val="Compact"/>
      </w:pPr>
      <w:r>
        <w:rPr>
          <w:bCs/>
          <w:b/>
        </w:rPr>
        <w:t xml:space="preserve">Pediatric Care:</w:t>
      </w:r>
      <w:r>
        <w:t xml:space="preserve"> </w:t>
      </w:r>
      <w:r>
        <w:t xml:space="preserve">Treating strabismus (crossed eyes) and amblyopia in children.</w:t>
      </w:r>
    </w:p>
    <w:p>
      <w:pPr>
        <w:numPr>
          <w:ilvl w:val="0"/>
          <w:numId w:val="1002"/>
        </w:numPr>
        <w:pStyle w:val="Compact"/>
      </w:pPr>
      <w:r>
        <w:rPr>
          <w:bCs/>
          <w:b/>
        </w:rPr>
        <w:t xml:space="preserve">Oncology:</w:t>
      </w:r>
      <w:r>
        <w:t xml:space="preserve"> </w:t>
      </w:r>
      <w:r>
        <w:t xml:space="preserve">Managing tumors of the eye and adnexa, a growing field of specialization.</w:t>
      </w:r>
    </w:p>
    <w:p>
      <w:pPr>
        <w:pStyle w:val="FirstParagraph"/>
      </w:pPr>
      <w:r>
        <w:t xml:space="preserve">In Germany Frankfurt, the demand for these specialized services is exceptionally high due to the city's aging population and international patient influx.</w:t>
      </w:r>
    </w:p>
    <w:bookmarkEnd w:id="22"/>
    <w:bookmarkEnd w:id="23"/>
    <w:p>
      <w:pPr>
        <w:pStyle w:val="BodyText"/>
      </w:pPr>
      <w:r>
        <w:t xml:space="preserve">Slide 3: The Healthcare Landscape in Germany Frankfurt</w:t>
      </w:r>
    </w:p>
    <w:bookmarkStart w:id="24" w:name="ophthalmology-in-a-major-german-hub"/>
    <w:p>
      <w:pPr>
        <w:pStyle w:val="Heading2"/>
      </w:pPr>
      <w:r>
        <w:t xml:space="preserve">Ophthalmology in a Major German Hub</w:t>
      </w:r>
    </w:p>
    <w:p>
      <w:pPr>
        <w:pStyle w:val="FirstParagraph"/>
      </w:pPr>
      <w:r>
        <w:rPr>
          <w:bCs/>
          <w:b/>
        </w:rPr>
        <w:t xml:space="preserve">The Setting:</w:t>
      </w:r>
    </w:p>
    <w:p>
      <w:pPr>
        <w:pStyle w:val="BodyText"/>
      </w:pPr>
      <w:r>
        <w:t xml:space="preserve">Germany Frankfurt serves as the heart of the German healthcare network. It is home to university hospitals and specialized eye clinics that set national standards for medical excellence.</w:t>
      </w:r>
    </w:p>
    <w:p>
      <w:pPr>
        <w:numPr>
          <w:ilvl w:val="0"/>
          <w:numId w:val="1003"/>
        </w:numPr>
        <w:pStyle w:val="Compact"/>
      </w:pPr>
      <w:r>
        <w:rPr>
          <w:bCs/>
          <w:b/>
        </w:rPr>
        <w:t xml:space="preserve">Institutional Excellence:</w:t>
      </w:r>
      <w:r>
        <w:t xml:space="preserve"> </w:t>
      </w:r>
      <w:r>
        <w:t xml:space="preserve">Clinics in Germany Frankfurt are often affiliated with major universities, ensuring that research and clinical practice go hand-in-hand.</w:t>
      </w:r>
    </w:p>
    <w:p>
      <w:pPr>
        <w:numPr>
          <w:ilvl w:val="0"/>
          <w:numId w:val="1003"/>
        </w:numPr>
        <w:pStyle w:val="Compact"/>
      </w:pPr>
      <w:r>
        <w:rPr>
          <w:bCs/>
          <w:b/>
        </w:rPr>
        <w:t xml:space="preserve">Tech Integration:</w:t>
      </w:r>
      <w:r>
        <w:t xml:space="preserve"> </w:t>
      </w:r>
      <w:r>
        <w:t xml:space="preserve">The region is a leader in adopting AI-driven diagnostic tools and robotic-assisted surgery systems.</w:t>
      </w:r>
    </w:p>
    <w:p>
      <w:pPr>
        <w:numPr>
          <w:ilvl w:val="0"/>
          <w:numId w:val="1003"/>
        </w:numPr>
        <w:pStyle w:val="Compact"/>
      </w:pPr>
      <w:r>
        <w:rPr>
          <w:bCs/>
          <w:b/>
        </w:rPr>
        <w:t xml:space="preserve">Patient Demographics:</w:t>
      </w:r>
      <w:r>
        <w:t xml:space="preserve"> </w:t>
      </w:r>
      <w:r>
        <w:t xml:space="preserve">The diverse population of Germany Frankfurt requires ophthalmologists to be proficient in cross-cultural communication and varied healthcare literacy levels.</w:t>
      </w:r>
    </w:p>
    <w:bookmarkEnd w:id="24"/>
    <w:p>
      <w:pPr>
        <w:pStyle w:val="FirstParagraph"/>
      </w:pPr>
      <w:r>
        <w:t xml:space="preserve">Slide 4: Technological Advancements</w:t>
      </w:r>
    </w:p>
    <w:bookmarkStart w:id="26" w:name="innovation-driving-eye-care"/>
    <w:p>
      <w:pPr>
        <w:pStyle w:val="Heading2"/>
      </w:pPr>
      <w:r>
        <w:t xml:space="preserve">Innovation Driving Eye Care</w:t>
      </w:r>
    </w:p>
    <w:p>
      <w:pPr>
        <w:pStyle w:val="FirstParagraph"/>
      </w:pPr>
      <w:r>
        <w:t xml:space="preserve">The field of ophthalmology is rapidly evolving, and Germany Frankfurt is at the forefront of this technological revolution.</w:t>
      </w:r>
    </w:p>
    <w:bookmarkStart w:id="25" w:name="critical-technologies"/>
    <w:p>
      <w:pPr>
        <w:pStyle w:val="Heading3"/>
      </w:pPr>
      <w:r>
        <w:t xml:space="preserve">Critical Technologies:</w:t>
      </w:r>
    </w:p>
    <w:p>
      <w:pPr>
        <w:numPr>
          <w:ilvl w:val="0"/>
          <w:numId w:val="1004"/>
        </w:numPr>
        <w:pStyle w:val="Compact"/>
      </w:pPr>
      <w:r>
        <w:rPr>
          <w:bCs/>
          <w:b/>
        </w:rPr>
        <w:t xml:space="preserve">OCT (Optical Coherence Tomography):</w:t>
      </w:r>
      <w:r>
        <w:t xml:space="preserve"> </w:t>
      </w:r>
      <w:r>
        <w:t xml:space="preserve">Provides high-resolution cross-sectional images of the retina. This is standard in every clinic in Germany Frankfurt.</w:t>
      </w:r>
    </w:p>
    <w:p>
      <w:pPr>
        <w:numPr>
          <w:ilvl w:val="0"/>
          <w:numId w:val="1004"/>
        </w:numPr>
        <w:pStyle w:val="Compact"/>
      </w:pPr>
      <w:r>
        <w:rPr>
          <w:bCs/>
          <w:b/>
        </w:rPr>
        <w:t xml:space="preserve">Femtosecond Laser Surgery:</w:t>
      </w:r>
      <w:r>
        <w:t xml:space="preserve"> </w:t>
      </w:r>
      <w:r>
        <w:t xml:space="preserve">Allows for precise, blade-free cataract surgeries, reducing recovery time and improving outcomes.</w:t>
      </w:r>
    </w:p>
    <w:p>
      <w:pPr>
        <w:numPr>
          <w:ilvl w:val="0"/>
          <w:numId w:val="1004"/>
        </w:numPr>
        <w:pStyle w:val="Compact"/>
      </w:pPr>
      <w:r>
        <w:rPr>
          <w:bCs/>
          <w:b/>
        </w:rPr>
        <w:t xml:space="preserve">Digital Health Records:</w:t>
      </w:r>
      <w:r>
        <w:t xml:space="preserve"> </w:t>
      </w:r>
      <w:r>
        <w:t xml:space="preserve">Seamless integration between general practitioners and ophthalmologists ensures that systemic diseases like diabetes are managed holistically.</w:t>
      </w:r>
    </w:p>
    <w:p>
      <w:pPr>
        <w:pStyle w:val="FirstParagraph"/>
      </w:pPr>
      <w:r>
        <w:t xml:space="preserve">Note: The adoption rate of these technologies in Germany Frankfurt exceeds the European average due to robust insurance coverage for advanced diagnostics.</w:t>
      </w:r>
    </w:p>
    <w:bookmarkEnd w:id="25"/>
    <w:bookmarkEnd w:id="26"/>
    <w:p>
      <w:pPr>
        <w:pStyle w:val="BodyText"/>
      </w:pPr>
      <w:r>
        <w:t xml:space="preserve">Slide 5: Common Pathologies and Treatments</w:t>
      </w:r>
    </w:p>
    <w:bookmarkStart w:id="30" w:name="clinical-focus-areas"/>
    <w:p>
      <w:pPr>
        <w:pStyle w:val="Heading2"/>
      </w:pPr>
      <w:r>
        <w:t xml:space="preserve">Clinical Focus Areas</w:t>
      </w:r>
    </w:p>
    <w:p>
      <w:pPr>
        <w:pStyle w:val="FirstParagraph"/>
      </w:pPr>
      <w:r>
        <w:t xml:space="preserve">Ophthalmologists in this region deal with a specific prevalence of eye diseases influenced by lifestyle and genetics.</w:t>
      </w:r>
    </w:p>
    <w:bookmarkStart w:id="27" w:name="age-related-macular-degeneration-amd"/>
    <w:p>
      <w:pPr>
        <w:pStyle w:val="Heading3"/>
      </w:pPr>
      <w:r>
        <w:t xml:space="preserve">Age-Related Macular Degeneration (AMD):</w:t>
      </w:r>
    </w:p>
    <w:p>
      <w:pPr>
        <w:numPr>
          <w:ilvl w:val="0"/>
          <w:numId w:val="1005"/>
        </w:numPr>
        <w:pStyle w:val="Compact"/>
      </w:pPr>
      <w:r>
        <w:rPr>
          <w:bCs/>
          <w:b/>
        </w:rPr>
        <w:t xml:space="preserve">Status:</w:t>
      </w:r>
      <w:r>
        <w:t xml:space="preserve"> </w:t>
      </w:r>
      <w:r>
        <w:t xml:space="preserve">A leading cause of vision loss among the elderly.</w:t>
      </w:r>
    </w:p>
    <w:p>
      <w:pPr>
        <w:numPr>
          <w:ilvl w:val="0"/>
          <w:numId w:val="1005"/>
        </w:numPr>
        <w:pStyle w:val="Compact"/>
      </w:pPr>
      <w:r>
        <w:rPr>
          <w:bCs/>
          <w:b/>
        </w:rPr>
        <w:t xml:space="preserve">Treatment in Germany Frankfurt:</w:t>
      </w:r>
      <w:r>
        <w:t xml:space="preserve"> </w:t>
      </w:r>
      <w:r>
        <w:t xml:space="preserve">Widespread use of anti-VEGF injections, which are highly subsidized by public health insurance.</w:t>
      </w:r>
    </w:p>
    <w:bookmarkEnd w:id="27"/>
    <w:bookmarkStart w:id="28" w:name="cataracts"/>
    <w:p>
      <w:pPr>
        <w:pStyle w:val="Heading3"/>
      </w:pPr>
      <w:r>
        <w:t xml:space="preserve">Cataracts:</w:t>
      </w:r>
    </w:p>
    <w:p>
      <w:pPr>
        <w:numPr>
          <w:ilvl w:val="0"/>
          <w:numId w:val="1006"/>
        </w:numPr>
        <w:pStyle w:val="Compact"/>
      </w:pPr>
      <w:r>
        <w:rPr>
          <w:bCs/>
          <w:b/>
        </w:rPr>
        <w:t xml:space="preserve">Status:</w:t>
      </w:r>
      <w:r>
        <w:t xml:space="preserve"> </w:t>
      </w:r>
      <w:r>
        <w:t xml:space="preserve">The most common surgical procedure performed by ophthalmologists globally.</w:t>
      </w:r>
    </w:p>
    <w:p>
      <w:pPr>
        <w:numPr>
          <w:ilvl w:val="0"/>
          <w:numId w:val="1006"/>
        </w:numPr>
        <w:pStyle w:val="Compact"/>
      </w:pPr>
      <w:r>
        <w:t xml:space="preserve">Treatment in Germany Frankfurt:</w:t>
      </w:r>
    </w:p>
    <w:bookmarkEnd w:id="28"/>
    <w:bookmarkStart w:id="29" w:name="glaucoma"/>
    <w:p>
      <w:pPr>
        <w:pStyle w:val="Heading3"/>
      </w:pPr>
      <w:r>
        <w:t xml:space="preserve">Glaucoma:</w:t>
      </w:r>
    </w:p>
    <w:p>
      <w:pPr>
        <w:pStyle w:val="FirstParagraph"/>
      </w:pPr>
      <w:r>
        <w:rPr>
          <w:bCs/>
          <w:b/>
        </w:rPr>
        <w:t xml:space="preserve">Status:</w:t>
      </w:r>
    </w:p>
    <w:p>
      <w:pPr>
        <w:pStyle w:val="BodyText"/>
      </w:pPr>
      <w:r>
        <w:t xml:space="preserve">Treatment in Germany Frankfurt:</w:t>
      </w:r>
    </w:p>
    <w:bookmarkEnd w:id="29"/>
    <w:bookmarkEnd w:id="30"/>
    <w:p>
      <w:pPr>
        <w:pStyle w:val="BodyText"/>
      </w:pPr>
      <w:r>
        <w:t xml:space="preserve">Slide 6: Insurance and Regulatory Framework</w:t>
      </w:r>
    </w:p>
    <w:bookmarkStart w:id="31" w:name="navigating-the-german-system"/>
    <w:p>
      <w:pPr>
        <w:pStyle w:val="Heading2"/>
      </w:pPr>
      <w:r>
        <w:t xml:space="preserve">Navigating the German System</w:t>
      </w:r>
    </w:p>
    <w:p>
      <w:pPr>
        <w:pStyle w:val="FirstParagraph"/>
      </w:pPr>
      <w:r>
        <w:rPr>
          <w:bCs/>
          <w:b/>
        </w:rPr>
        <w:t xml:space="preserve">Gesetzliche Krankenversicherung (GKV):</w:t>
      </w:r>
    </w:p>
    <w:p>
      <w:pPr>
        <w:pStyle w:val="BodyText"/>
      </w:pPr>
      <w:r>
        <w:t xml:space="preserve">The statutory health insurance system covers the majority of ophthalmological treatments. However, there are nuances.</w:t>
      </w:r>
    </w:p>
    <w:p>
      <w:pPr>
        <w:numPr>
          <w:ilvl w:val="0"/>
          <w:numId w:val="1007"/>
        </w:numPr>
        <w:pStyle w:val="Compact"/>
      </w:pPr>
      <w:r>
        <w:rPr>
          <w:bCs/>
          <w:b/>
        </w:rPr>
        <w:t xml:space="preserve">Coverage:</w:t>
      </w:r>
      <w:r>
        <w:t xml:space="preserve">: Routine eye exams and medically necessary surgeries are fully covered.</w:t>
      </w:r>
    </w:p>
    <w:p>
      <w:pPr>
        <w:numPr>
          <w:ilvl w:val="0"/>
          <w:numId w:val="1007"/>
        </w:numPr>
        <w:pStyle w:val="Compact"/>
      </w:pPr>
      <w:r>
        <w:rPr>
          <w:bCs/>
          <w:b/>
        </w:rPr>
        <w:t xml:space="preserve">Premium Services:</w:t>
      </w:r>
      <w:r>
        <w:t xml:space="preserve">: Special lens implants or elective cosmetic procedures often require out-of-pocket payment.</w:t>
      </w:r>
    </w:p>
    <w:p>
      <w:pPr>
        <w:pStyle w:val="FirstParagraph"/>
      </w:pPr>
      <w:r>
        <w:rPr>
          <w:bCs/>
          <w:b/>
        </w:rPr>
        <w:t xml:space="preserve">Zusatzversicherung (Supplementary Insurance):</w:t>
      </w:r>
    </w:p>
    <w:p>
      <w:pPr>
        <w:pStyle w:val="BodyText"/>
      </w:pPr>
      <w:r>
        <w:t xml:space="preserve">In Germany Frankfurt, many residents opt for supplementary insurance to access the latest premium ophthalmological technologies and private hospital rooms. Ophthalmologists must be adept at explaining these financial distinctions to patients.</w:t>
      </w:r>
    </w:p>
    <w:bookmarkEnd w:id="31"/>
    <w:p>
      <w:pPr>
        <w:pStyle w:val="BodyText"/>
      </w:pPr>
      <w:r>
        <w:t xml:space="preserve">Slide 7: Challenges Facing the Profession</w:t>
      </w:r>
    </w:p>
    <w:bookmarkStart w:id="32" w:name="barriers-to-care-in-germany-frankfurt"/>
    <w:p>
      <w:pPr>
        <w:pStyle w:val="Heading2"/>
      </w:pPr>
      <w:r>
        <w:t xml:space="preserve">Barriers to Care in Germany Frankfurt</w:t>
      </w:r>
    </w:p>
    <w:p>
      <w:pPr>
        <w:pStyle w:val="FirstParagraph"/>
      </w:pPr>
      <w:r>
        <w:t xml:space="preserve">Despite high standards, several challenges persist for ophthalmologists practicing in this region.</w:t>
      </w:r>
    </w:p>
    <w:p>
      <w:pPr>
        <w:numPr>
          <w:ilvl w:val="0"/>
          <w:numId w:val="1008"/>
        </w:numPr>
        <w:pStyle w:val="Compact"/>
      </w:pPr>
      <w:r>
        <w:rPr>
          <w:bCs/>
          <w:b/>
        </w:rPr>
        <w:t xml:space="preserve">Demand vs. Supply:</w:t>
      </w:r>
      <w:r>
        <w:t xml:space="preserve">: There is a growing shortage of specialized ophthalmologists relative to the aging population. Wait times for non-emergency surgeries can be long.</w:t>
      </w:r>
    </w:p>
    <w:p>
      <w:pPr>
        <w:numPr>
          <w:ilvl w:val="0"/>
          <w:numId w:val="1008"/>
        </w:numPr>
        <w:pStyle w:val="Compact"/>
      </w:pPr>
      <w:r>
        <w:rPr>
          <w:bCs/>
          <w:b/>
        </w:rPr>
        <w:t xml:space="preserve">Bureaucracy:</w:t>
      </w:r>
      <w:r>
        <w:t xml:space="preserve">: The administrative burden in Germany's healthcare system is significant, taking time away from patient care.</w:t>
      </w:r>
    </w:p>
    <w:p>
      <w:pPr>
        <w:numPr>
          <w:ilvl w:val="0"/>
          <w:numId w:val="1008"/>
        </w:numPr>
        <w:pStyle w:val="Compact"/>
      </w:pPr>
      <w:r>
        <w:rPr>
          <w:bCs/>
          <w:b/>
        </w:rPr>
        <w:t xml:space="preserve">Digital Divide:</w:t>
      </w:r>
      <w:r>
        <w:t xml:space="preserve">: While tech adoption is high among providers, older patients may struggle with digital booking systems or telemedicine platforms.</w:t>
      </w:r>
    </w:p>
    <w:p>
      <w:pPr>
        <w:pStyle w:val="FirstParagraph"/>
      </w:pPr>
      <w:r>
        <w:rPr>
          <w:bCs/>
          <w:b/>
        </w:rPr>
        <w:t xml:space="preserve">Solutions:</w:t>
      </w:r>
    </w:p>
    <w:p>
      <w:pPr>
        <w:numPr>
          <w:ilvl w:val="0"/>
          <w:numId w:val="1009"/>
        </w:numPr>
        <w:pStyle w:val="Compact"/>
      </w:pPr>
      <w:r>
        <w:t xml:space="preserve">Mentorship programs for young ophthalmologists moving to Germany Frankfurt.</w:t>
      </w:r>
    </w:p>
    <w:p>
      <w:pPr>
        <w:numPr>
          <w:ilvl w:val="0"/>
          <w:numId w:val="1009"/>
        </w:numPr>
        <w:pStyle w:val="Compact"/>
      </w:pPr>
      <w:r>
        <w:t xml:space="preserve">Patient education initiatives to improve health literacy regarding eye health maintenance.</w:t>
      </w:r>
    </w:p>
    <w:bookmarkEnd w:id="32"/>
    <w:p>
      <w:pPr>
        <w:pStyle w:val="FirstParagraph"/>
      </w:pPr>
      <w:r>
        <w:t xml:space="preserve">Slide 8: Future Outlook</w:t>
      </w:r>
    </w:p>
    <w:bookmarkStart w:id="33" w:name="the-next-decade-of-eye-care"/>
    <w:p>
      <w:pPr>
        <w:pStyle w:val="Heading2"/>
      </w:pPr>
      <w:r>
        <w:t xml:space="preserve">The Next Decade of Eye Care</w:t>
      </w:r>
    </w:p>
    <w:p>
      <w:pPr>
        <w:pStyle w:val="FirstParagraph"/>
      </w:pPr>
      <w:r>
        <w:rPr>
          <w:bCs/>
          <w:b/>
        </w:rPr>
        <w:t xml:space="preserve">Predictions for Germany Frankfurt:</w:t>
      </w:r>
    </w:p>
    <w:p>
      <w:pPr>
        <w:numPr>
          <w:ilvl w:val="0"/>
          <w:numId w:val="1010"/>
        </w:numPr>
        <w:pStyle w:val="Compact"/>
      </w:pPr>
      <w:r>
        <w:rPr>
          <w:bCs/>
          <w:b/>
        </w:rPr>
        <w:t xml:space="preserve">Surgical Robotics:</w:t>
      </w:r>
      <w:r>
        <w:t xml:space="preserve">: Increased automation in complex retinal surgeries.</w:t>
      </w:r>
    </w:p>
    <w:p>
      <w:pPr>
        <w:numPr>
          <w:ilvl w:val="0"/>
          <w:numId w:val="1010"/>
        </w:numPr>
        <w:pStyle w:val="Compact"/>
      </w:pPr>
      <w:r>
        <w:t xml:space="preserve">Gene Therapy:: Moving from management to cure for inherited retinal diseases, with clinical trials expected to expand in major German university hospitals.</w:t>
      </w:r>
    </w:p>
    <w:p>
      <w:pPr>
        <w:numPr>
          <w:ilvl w:val="0"/>
          <w:numId w:val="1010"/>
        </w:numPr>
        <w:pStyle w:val="Compact"/>
      </w:pPr>
      <w:r>
        <w:rPr>
          <w:bCs/>
          <w:b/>
        </w:rPr>
        <w:t xml:space="preserve">Telomonitoring:</w:t>
      </w:r>
      <w:r>
        <w:t xml:space="preserve">: Remote monitoring of chronic conditions like glaucoma using smart contact lenses and home-based OCT devices.</w:t>
      </w:r>
    </w:p>
    <w:p>
      <w:pPr>
        <w:pStyle w:val="FirstParagraph"/>
      </w:pPr>
      <w:r>
        <w:t xml:space="preserve">The role of the ophthalmologist will shift from purely procedural to more holistic, data-driven management of chronic eye health, supported by advanced analytics.</w:t>
      </w:r>
    </w:p>
    <w:bookmarkEnd w:id="33"/>
    <w:p>
      <w:pPr>
        <w:pStyle w:val="BodyText"/>
      </w:pPr>
      <w:r>
        <w:t xml:space="preserve">Slide 9: Conclusion &amp; Q&amp;A</w:t>
      </w:r>
    </w:p>
    <w:bookmarkStart w:id="34" w:name="summary-and-discussion"/>
    <w:p>
      <w:pPr>
        <w:pStyle w:val="Heading2"/>
      </w:pPr>
      <w:r>
        <w:t xml:space="preserve">Summary and Discussion</w:t>
      </w:r>
    </w:p>
    <w:p>
      <w:pPr>
        <w:pStyle w:val="FirstParagraph"/>
      </w:pPr>
      <w:r>
        <w:rPr>
          <w:bCs/>
          <w:b/>
        </w:rPr>
        <w:t xml:space="preserve">Critical Takeaways:</w:t>
      </w:r>
    </w:p>
    <w:p>
      <w:pPr>
        <w:numPr>
          <w:ilvl w:val="0"/>
          <w:numId w:val="1011"/>
        </w:numPr>
        <w:pStyle w:val="Compact"/>
      </w:pPr>
      <w:r>
        <w:t xml:space="preserve">Ophthalmology in Germany Frankfurt represents the pinnacle of European eye care, blending traditional surgical skill with cutting-edge technology.</w:t>
      </w:r>
    </w:p>
    <w:p>
      <w:pPr>
        <w:numPr>
          <w:ilvl w:val="0"/>
          <w:numId w:val="1011"/>
        </w:numPr>
        <w:pStyle w:val="Compact"/>
      </w:pPr>
      <w:r>
        <w:t xml:space="preserve">The ophthalmologist serves as both a surgeon and a chronic disease manager.</w:t>
      </w:r>
    </w:p>
    <w:p>
      <w:pPr>
        <w:pStyle w:val="FirstParagraph"/>
      </w:pPr>
      <w:r>
        <w:rPr>
          <w:bCs/>
          <w:b/>
        </w:rPr>
        <w:t xml:space="preserve">Contact Information:</w:t>
      </w:r>
    </w:p>
    <w:p>
      <w:pPr>
        <w:numPr>
          <w:ilvl w:val="0"/>
          <w:numId w:val="1012"/>
        </w:numPr>
        <w:pStyle w:val="Compact"/>
      </w:pPr>
      <w:r>
        <w:t xml:space="preserve">Email: contact@seminar-ophthalmology.de</w:t>
      </w:r>
    </w:p>
    <w:p>
      <w:pPr>
        <w:numPr>
          <w:ilvl w:val="0"/>
          <w:numId w:val="1012"/>
        </w:numPr>
        <w:pStyle w:val="Compact"/>
      </w:pPr>
      <w:r>
        <w:t xml:space="preserve">Institutional Partner: University Eye Clinic Frankfurt (Simulated)</w:t>
      </w:r>
    </w:p>
    <w:p>
      <w:pPr>
        <w:pStyle w:val="FirstParagraph"/>
      </w:pPr>
      <w:r>
        <w:rPr>
          <w:bCs/>
          <w:b/>
        </w:rPr>
        <w:t xml:space="preserve">Please direct any questions regarding the presentation content to the moderator.</w:t>
      </w:r>
    </w:p>
    <w:bookmarkEnd w:id="34"/>
    <w:p>
      <w:pPr>
        <w:pStyle w:val="BodyText"/>
      </w:pPr>
      <w:r>
        <w:t xml:space="preserve">© 2023 Seminar Presentation Series. All rights reserved. Content adapted for medical education purposes in Germany Frankfurt.</w:t>
      </w:r>
    </w:p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abstractNum w:abstractNumId="99401">
    <w:nsid w:val="A994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decimal"/>
      <w:lvlText w:val="%2."/>
      <w:lvlJc w:val="left"/>
      <w:pPr>
        <w:ind w:left="1440" w:hanging="480"/>
      </w:pPr>
    </w:lvl>
    <w:lvl w:ilvl="2">
      <w:start w:val="1"/>
      <w:numFmt w:val="decimal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decimal"/>
      <w:lvlText w:val="%5."/>
      <w:lvlJc w:val="left"/>
      <w:pPr>
        <w:ind w:left="3600" w:hanging="480"/>
      </w:pPr>
    </w:lvl>
    <w:lvl w:ilvl="5">
      <w:start w:val="1"/>
      <w:numFmt w:val="decimal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decimal"/>
      <w:lvlText w:val="%8."/>
      <w:lvlJc w:val="left"/>
      <w:pPr>
        <w:ind w:left="5760" w:hanging="480"/>
      </w:pPr>
    </w:lvl>
    <w:lvl w:ilvl="8">
      <w:start w:val="1"/>
      <w:numFmt w:val="decimal"/>
      <w:lvlText w:val="%9."/>
      <w:lvlJc w:val="left"/>
      <w:pPr>
        <w:ind w:left="6480" w:hanging="480"/>
      </w:p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  <w:num w:numId="1007">
    <w:abstractNumId w:val="991"/>
  </w:num>
  <w:num w:numId="1008">
    <w:abstractNumId w:val="994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9">
    <w:abstractNumId w:val="991"/>
  </w:num>
  <w:num w:numId="1010">
    <w:abstractNumId w:val="991"/>
  </w:num>
  <w:num w:numId="1011">
    <w:abstractNumId w:val="994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12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Seminar Presentation: Ophthalmology in Germany Frankfurt</dc:title>
  <dc:creator/>
  <dc:language>en</dc:language>
  <cp:keywords/>
  <dcterms:created xsi:type="dcterms:W3CDTF">2026-07-29T13:44:20Z</dcterms:created>
  <dcterms:modified xsi:type="dcterms:W3CDTF">2026-07-29T13:44:20Z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iewport">
    <vt:lpwstr>width=device-width, initial-scale=1.0</vt:lpwstr>
  </property>
</Properties>
</file>