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e1355804ce9a1aa279dfa4635ec5498bceae15"/>
    <w:p>
      <w:pPr>
        <w:pStyle w:val="Heading2"/>
      </w:pPr>
      <w:r>
        <w:t xml:space="preserve">The Evolving Role of the Physiotherapist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Healthcare Professionals, Medical Students, and Community Leaders in Venezuela Caracas.</w:t>
      </w:r>
    </w:p>
    <w:bookmarkEnd w:id="20"/>
    <w:bookmarkEnd w:id="21"/>
    <w:p>
      <w:pPr>
        <w:pStyle w:val="BodyText"/>
      </w:pPr>
      <w:r>
        <w:t xml:space="preserve">Physiotherapist has thus shifted from a technician operating machines to a holistic movement expert who maximizes human potential with minimal resources.</w:t>
      </w:r>
    </w:p>
    <w:p>
      <w:pPr>
        <w:pStyle w:val="BodyText"/>
      </w:pPr>
      <w:r>
        <w:t xml:space="preserve">Questions and Answers?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Physiotherapist in Venezuela Caracas</dc:title>
  <dc:creator/>
  <dc:language>en</dc:language>
  <cp:keywords/>
  <dcterms:created xsi:type="dcterms:W3CDTF">2026-09-28T04:01:06Z</dcterms:created>
  <dcterms:modified xsi:type="dcterms:W3CDTF">2026-09-28T04:01:06Z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