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X7439f419ab4762e44909134cf64e952357bd411"/>
    <w:p>
      <w:pPr>
        <w:pStyle w:val="Heading2"/>
      </w:pPr>
      <w:r>
        <w:t xml:space="preserve">Title: Empowering Inclusion: The Role of the Special Education Teacher in New Zealand Wellington</w:t>
      </w:r>
    </w:p>
    <w:p>
      <w:pPr>
        <w:pStyle w:val="FirstParagraph"/>
      </w:pPr>
      <w:r>
        <w:rPr>
          <w:bCs/>
          <w:b/>
        </w:rPr>
        <w:t xml:space="preserve">Purpose:</w:t>
      </w:r>
      <w:r>
        <w:t xml:space="preserve"> </w:t>
      </w:r>
      <w:r>
        <w:t xml:space="preserve">To explore the critical responsibilities, legal frameworks, and cultural contexts of being a Special Education Teacher within the unique educational landscape of Wellington, New Zealand.</w:t>
      </w:r>
    </w:p>
    <w:bookmarkEnd w:id="20"/>
    <w:bookmarkEnd w:id="21"/>
    <w:bookmarkStart w:id="23" w:name="welcome-and-overview"/>
    <w:p>
      <w:pPr>
        <w:pStyle w:val="Heading1"/>
      </w:pPr>
      <w:r>
        <w:t xml:space="preserve">Welcome and Overview</w:t>
      </w:r>
    </w:p>
    <w:bookmarkStart w:id="22" w:name="X5f57ac2bcce835f659d21d9f5a9fbda9c9ef029"/>
    <w:p>
      <w:pPr>
        <w:pStyle w:val="Heading2"/>
      </w:pPr>
      <w:r>
        <w:t xml:space="preserve">Welcome to this Seminar Presentation Slides document.</w:t>
      </w:r>
    </w:p>
    <w:p>
      <w:pPr>
        <w:pStyle w:val="FirstParagraph"/>
      </w:pPr>
      <w:r>
        <w:t xml:space="preserve">This presentation is specifically designed for educators, policymakers, and community leaders focused on the Special Education Teacher profession. It places a heavy emphasis on the local context of New Zealand Wellington. As we navigate through these slides, we will examine how Special Education Teachers act as pivotal figures in ensuring equitable access to learning for all students.</w:t>
      </w:r>
    </w:p>
    <w:p>
      <w:pPr>
        <w:pStyle w:val="BodyText"/>
      </w:pPr>
      <w:r>
        <w:t xml:space="preserve">In New Zealand Wellington, our approach to disability and special needs is not merely about remediation; it is about empowerment, community integration, and honoring the diverse identities of our learners. This document serves as a comprehensive guide for understanding the nuances of this role in our capital city.</w:t>
      </w:r>
    </w:p>
    <w:bookmarkEnd w:id="22"/>
    <w:bookmarkEnd w:id="23"/>
    <w:bookmarkStart w:id="25" w:name="the-context-new-zealand-wellington"/>
    <w:p>
      <w:pPr>
        <w:pStyle w:val="Heading1"/>
      </w:pPr>
      <w:r>
        <w:t xml:space="preserve">The Context: New Zealand Wellington</w:t>
      </w:r>
    </w:p>
    <w:bookmarkStart w:id="24" w:name="X68c2e6c16760be5a16ad8bea4fcabb4f62cf28b"/>
    <w:p>
      <w:pPr>
        <w:pStyle w:val="Heading2"/>
      </w:pPr>
      <w:r>
        <w:t xml:space="preserve">A City Defined by Diversity and Inclusion</w:t>
      </w:r>
    </w:p>
    <w:p>
      <w:pPr>
        <w:pStyle w:val="FirstParagraph"/>
      </w:pPr>
      <w:r>
        <w:t xml:space="preserve">New Zealand Wellington is more than just the political center of Aotearoa; it is a vibrant, multicultural hub that prides itself on social progressivism and community cohesion. For a Special Education Teacher, working in New Zealand Wellington means engaging with one of the most diverse populations in the country.</w:t>
      </w:r>
    </w:p>
    <w:p>
      <w:pPr>
        <w:pStyle w:val="BodyText"/>
      </w:pPr>
      <w:r>
        <w:t xml:space="preserve">The city’s unique geography—nestled between hills and sea—and its tight-knit community structure mean that schools often serve as central hubs for family support. In this context, the role of a Special Education Teacher extends beyond the classroom walls. It involves deep collaboration with local iwi (Māori tribes), Pasifika communities, and various disability advocacy groups present in New Zealand Wellington.</w:t>
      </w:r>
    </w:p>
    <w:p>
      <w:pPr>
        <w:pStyle w:val="BodyText"/>
      </w:pPr>
      <w:r>
        <w:t xml:space="preserve">Understanding the local demographic is crucial for any Seminar Presentation Slides focused on this region. The urban environment offers access to specialized resources but also presents challenges regarding transport and social isolation for some families. A Special Education Teacher must be adept at navigating these specific local dynamics to provide effective support.</w:t>
      </w:r>
    </w:p>
    <w:bookmarkEnd w:id="24"/>
    <w:bookmarkEnd w:id="25"/>
    <w:bookmarkStart w:id="27" w:name="Xa822a2507fe1fe9c6bf8ab22e7f53391b895f3c"/>
    <w:p>
      <w:pPr>
        <w:pStyle w:val="Heading1"/>
      </w:pPr>
      <w:r>
        <w:t xml:space="preserve">Cultural Responsiveness: Te Tiriti o Waitangi</w:t>
      </w:r>
    </w:p>
    <w:bookmarkStart w:id="26" w:name="X12abaaf366597b25f3f58928982a02c21dd518b"/>
    <w:p>
      <w:pPr>
        <w:pStyle w:val="Heading2"/>
      </w:pPr>
      <w:r>
        <w:t xml:space="preserve">Honoring Partnership in New Zealand Wellington</w:t>
      </w:r>
    </w:p>
    <w:p>
      <w:pPr>
        <w:pStyle w:val="FirstParagraph"/>
      </w:pPr>
      <w:r>
        <w:t xml:space="preserve">No discussion about a Special Education Teacher in New Zealand is complete without addressing Te Tiriti o Waitangi, the founding document of our nation. In Wellington, this translates to a commitment to the principles of Partnership, Participation, and Protection.</w:t>
      </w:r>
    </w:p>
    <w:p>
      <w:pPr>
        <w:numPr>
          <w:ilvl w:val="0"/>
          <w:numId w:val="1001"/>
        </w:numPr>
        <w:pStyle w:val="Compact"/>
      </w:pPr>
      <w:r>
        <w:rPr>
          <w:bCs/>
          <w:b/>
        </w:rPr>
        <w:t xml:space="preserve">Partnership:</w:t>
      </w:r>
      <w:r>
        <w:t xml:space="preserve"> </w:t>
      </w:r>
      <w:r>
        <w:t xml:space="preserve">Special Education Teachers must work collaboratively with whānau (families) and hapū. This means moving away from a deficit model where the child is "broken," toward a strength-based model that values the cultural identity of the student.</w:t>
      </w:r>
    </w:p>
    <w:p>
      <w:pPr>
        <w:numPr>
          <w:ilvl w:val="0"/>
          <w:numId w:val="1001"/>
        </w:numPr>
        <w:pStyle w:val="Compact"/>
      </w:pPr>
      <w:r>
        <w:rPr>
          <w:bCs/>
          <w:b/>
        </w:rPr>
        <w:t xml:space="preserve">Participation:</w:t>
      </w:r>
      <w:r>
        <w:t xml:space="preserve"> </w:t>
      </w:r>
      <w:r>
        <w:t xml:space="preserve">Ensuring that Māori students with special needs have equal access to education. In New Zealand Wellington, this involves integrating te reo Māori and tikanga into individual education plans where appropriate and relevant.</w:t>
      </w:r>
    </w:p>
    <w:p>
      <w:pPr>
        <w:numPr>
          <w:ilvl w:val="0"/>
          <w:numId w:val="1001"/>
        </w:numPr>
        <w:pStyle w:val="Compact"/>
      </w:pPr>
      <w:r>
        <w:t xml:space="preserve">Protection:: Advocating for the rights of vulnerable students against systemic bias or neglect. A Special Education Teacher acts as a guardian of equity, ensuring that Indigenous knowledge systems are respected alongside Western pedagogical methods.</w:t>
      </w:r>
    </w:p>
    <w:p>
      <w:pPr>
        <w:pStyle w:val="FirstParagraph"/>
      </w:pPr>
      <w:r>
        <w:t xml:space="preserve">This cultural competency is non-negotiable. It shapes how a Special Education Teacher builds trust with families in New Zealand Wellington, recognizing that health and education outcomes are deeply tied to cultural belonging.</w:t>
      </w:r>
    </w:p>
    <w:bookmarkEnd w:id="26"/>
    <w:bookmarkEnd w:id="27"/>
    <w:bookmarkStart w:id="29" w:name="X7f35aad05aae5729d8f0ff0b018c2b490b04507"/>
    <w:p>
      <w:pPr>
        <w:pStyle w:val="Heading1"/>
      </w:pPr>
      <w:r>
        <w:t xml:space="preserve">The Role of the Special Education Teacher</w:t>
      </w:r>
    </w:p>
    <w:bookmarkStart w:id="28" w:name="beyond-instructional-support"/>
    <w:p>
      <w:pPr>
        <w:pStyle w:val="Heading2"/>
      </w:pPr>
      <w:r>
        <w:t xml:space="preserve">Beyond Instructional Support</w:t>
      </w:r>
    </w:p>
    <w:p>
      <w:pPr>
        <w:pStyle w:val="FirstParagraph"/>
      </w:pPr>
      <w:r>
        <w:t xml:space="preserve">In New Zealand Wellington, the title "Special Education Teacher" encompasses a multifaceted role. While classroom instruction is key, the primary function is often that of a consultant and coach. A Special Education Teacher works alongside classroom teachers to differentiate curriculum and adapt learning environments.</w:t>
      </w:r>
    </w:p>
    <w:p>
      <w:pPr>
        <w:numPr>
          <w:ilvl w:val="0"/>
          <w:numId w:val="1002"/>
        </w:numPr>
        <w:pStyle w:val="Compact"/>
      </w:pPr>
      <w:r>
        <w:rPr>
          <w:bCs/>
          <w:b/>
        </w:rPr>
        <w:t xml:space="preserve">Differentiation:</w:t>
      </w:r>
      <w:r>
        <w:t xml:space="preserve"> </w:t>
      </w:r>
      <w:r>
        <w:t xml:space="preserve">Adapting the New Zealand Curriculum to meet diverse needs. This includes modifying resources for students with sensory processing disorders, autism spectrum conditions, or physical disabilities.</w:t>
      </w:r>
    </w:p>
    <w:p>
      <w:pPr>
        <w:numPr>
          <w:ilvl w:val="0"/>
          <w:numId w:val="1002"/>
        </w:numPr>
        <w:pStyle w:val="Compact"/>
      </w:pPr>
      <w:r>
        <w:t xml:space="preserve">Behavioral Support:: Developing positive behavior support plans that understand the function of behavior rather than just suppressing it. In the context of New Zealand Wellington’s community-focused ethos, this often involves restorative justice practices.</w:t>
      </w:r>
    </w:p>
    <w:p>
      <w:pPr>
        <w:numPr>
          <w:ilvl w:val="0"/>
          <w:numId w:val="1002"/>
        </w:numPr>
        <w:pStyle w:val="Compact"/>
      </w:pPr>
      <w:r>
        <w:rPr>
          <w:bCs/>
          <w:b/>
        </w:rPr>
        <w:t xml:space="preserve">Allied Health Collaboration:</w:t>
      </w:r>
      <w:r>
        <w:t xml:space="preserve">: Coordinating with speech therapists, occupational therapists, and psychologists who are part of the local health networks in Wellington. The Special Education Teacher serves as the linchpin in this interdisciplinary team.</w:t>
      </w:r>
    </w:p>
    <w:bookmarkEnd w:id="28"/>
    <w:bookmarkEnd w:id="29"/>
    <w:bookmarkStart w:id="31" w:name="X968659179cd3572fe55bd1504b3cc9204712511"/>
    <w:p>
      <w:pPr>
        <w:pStyle w:val="Heading1"/>
      </w:pPr>
      <w:r>
        <w:t xml:space="preserve">Inclusive Practices and Universal Design for Learning</w:t>
      </w:r>
    </w:p>
    <w:bookmarkStart w:id="30" w:name="creating-accessible-environments"/>
    <w:p>
      <w:pPr>
        <w:pStyle w:val="Heading2"/>
      </w:pPr>
      <w:r>
        <w:t xml:space="preserve">Creating Accessible Environments</w:t>
      </w:r>
    </w:p>
    <w:p>
      <w:pPr>
        <w:pStyle w:val="FirstParagraph"/>
      </w:pPr>
      <w:r>
        <w:t xml:space="preserve">A core tenet of modern Special Education teaching in New Zealand Wellington is the adoption of Universal Design for Learning (UDL). This approach ensures that curricula are designed to be accessible to all students from the outset, reducing the need for later retrofits.</w:t>
      </w:r>
    </w:p>
    <w:p>
      <w:pPr>
        <w:pStyle w:val="BodyText"/>
      </w:pPr>
      <w:r>
        <w:t xml:space="preserve">In Wellington schools, this might look like using digital tools that offer text-to-speech capabilities, providing visual schedules for students with autism, or creating quiet sensory spaces in libraries. The goal is inclusion—not just physical presence in a classroom, but meaningful engagement and social connection.</w:t>
      </w:r>
    </w:p>
    <w:p>
      <w:pPr>
        <w:pStyle w:val="BodyText"/>
      </w:pPr>
      <w:r>
        <w:t xml:space="preserve">For the Seminar Presentation Slides audience, it is vital to recognize that inclusion benefits all students. When a Special Education Teacher implements UDL strategies for a student with dyslexia, those same strategies aid English language learners and gifted students alike. This holistic approach reinforces the community spirit inherent in New Zealand Wellington’s educational philosophy.</w:t>
      </w:r>
    </w:p>
    <w:bookmarkEnd w:id="30"/>
    <w:bookmarkEnd w:id="31"/>
    <w:bookmarkStart w:id="33" w:name="pasifika-perspectives"/>
    <w:p>
      <w:pPr>
        <w:pStyle w:val="Heading1"/>
      </w:pPr>
      <w:r>
        <w:t xml:space="preserve">Pasifika Perspectives</w:t>
      </w:r>
    </w:p>
    <w:bookmarkStart w:id="32" w:name="honoring-community-values"/>
    <w:p>
      <w:pPr>
        <w:pStyle w:val="Heading2"/>
      </w:pPr>
      <w:r>
        <w:t xml:space="preserve">Honoring Community Values</w:t>
      </w:r>
    </w:p>
    <w:p>
      <w:pPr>
        <w:pStyle w:val="FirstParagraph"/>
      </w:pPr>
      <w:r>
        <w:t xml:space="preserve">New Zealand Wellington has a significant Pasifika population. For Special Education Teachers working with Pasifika students, understanding the concepts of *fa’aaloalo* (respect), *tāutua* (service), and collective identity is essential.</w:t>
      </w:r>
    </w:p>
    <w:p>
      <w:pPr>
        <w:numPr>
          <w:ilvl w:val="0"/>
          <w:numId w:val="1003"/>
        </w:numPr>
        <w:pStyle w:val="Compact"/>
      </w:pPr>
      <w:r>
        <w:rPr>
          <w:bCs/>
          <w:b/>
        </w:rPr>
        <w:t xml:space="preserve">Cultural Capital:</w:t>
      </w:r>
      <w:r>
        <w:t xml:space="preserve">: Recognizing that family involvement is paramount. Decisions about a child’s education are often communal, involving extended family members.</w:t>
      </w:r>
    </w:p>
    <w:p>
      <w:pPr>
        <w:numPr>
          <w:ilvl w:val="0"/>
          <w:numId w:val="1003"/>
        </w:numPr>
        <w:pStyle w:val="Compact"/>
      </w:pPr>
      <w:r>
        <w:rPr>
          <w:bCs/>
          <w:b/>
        </w:rPr>
        <w:t xml:space="preserve">Multilingual Support:</w:t>
      </w:r>
      <w:r>
        <w:t xml:space="preserve">: Valuing the student’s home language as a foundation for learning English. Special Education Teachers in New Zealand Wellington must advocate for bilingual resources and interpretive services when necessary.</w:t>
      </w:r>
    </w:p>
    <w:p>
      <w:pPr>
        <w:numPr>
          <w:ilvl w:val="0"/>
          <w:numId w:val="1003"/>
        </w:numPr>
        <w:pStyle w:val="Compact"/>
      </w:pPr>
      <w:r>
        <w:rPr>
          <w:bCs/>
          <w:b/>
        </w:rPr>
        <w:t xml:space="preserve">Avoiding Deficit Thinking:</w:t>
      </w:r>
      <w:r>
        <w:t xml:space="preserve">: Moving past stereotypes that label Pasifika learners as disengaged. Instead, recognizing their resilience and strong communal support networks as assets in the learning process.</w:t>
      </w:r>
    </w:p>
    <w:bookmarkEnd w:id="32"/>
    <w:bookmarkEnd w:id="33"/>
    <w:bookmarkStart w:id="35" w:name="challenges-and-advocacy"/>
    <w:p>
      <w:pPr>
        <w:pStyle w:val="Heading1"/>
      </w:pPr>
      <w:r>
        <w:t xml:space="preserve">Challenges and Advocacy</w:t>
      </w:r>
    </w:p>
    <w:bookmarkStart w:id="34" w:name="navigating-systemic-hurdles"/>
    <w:p>
      <w:pPr>
        <w:pStyle w:val="Heading2"/>
      </w:pPr>
      <w:r>
        <w:t xml:space="preserve">Navigating Systemic Hurdles</w:t>
      </w:r>
    </w:p>
    <w:p>
      <w:pPr>
        <w:pStyle w:val="FirstParagraph"/>
      </w:pPr>
      <w:r>
        <w:t xml:space="preserve">Beyond the classroom, a Special Education Teacher in New Zealand Wellington faces systemic challenges. Funding for special needs education can be complex and competitive. Teachers often spend significant time advocating for additional resources, such as one-on-one teacher aides or specialized equipment.</w:t>
      </w:r>
    </w:p>
    <w:p>
      <w:pPr>
        <w:numPr>
          <w:ilvl w:val="0"/>
          <w:numId w:val="1004"/>
        </w:numPr>
        <w:pStyle w:val="Compact"/>
      </w:pPr>
      <w:r>
        <w:rPr>
          <w:bCs/>
          <w:b/>
        </w:rPr>
        <w:t xml:space="preserve">Bureaucracy:</w:t>
      </w:r>
      <w:r>
        <w:t xml:space="preserve">: Navigating the Ministry of Education’s funding streams requires administrative expertise. A Special Education Teacher must be proficient in documentation and justification processes.</w:t>
      </w:r>
    </w:p>
    <w:p>
      <w:pPr>
        <w:numPr>
          <w:ilvl w:val="0"/>
          <w:numId w:val="1004"/>
        </w:numPr>
        <w:pStyle w:val="Compact"/>
      </w:pPr>
      <w:r>
        <w:t xml:space="preserve">Social Determinants: Many students in Wellington face poverty, housing instability, or trauma. The Special Education Teacher often becomes a key point of contact for social services referrals, bridging the gap between education and welfare.</w:t>
      </w:r>
    </w:p>
    <w:p>
      <w:pPr>
        <w:numPr>
          <w:ilvl w:val="0"/>
          <w:numId w:val="1004"/>
        </w:numPr>
        <w:pStyle w:val="Compact"/>
      </w:pPr>
      <w:r>
        <w:rPr>
          <w:bCs/>
          <w:b/>
        </w:rPr>
        <w:t xml:space="preserve">Mental Health:</w:t>
      </w:r>
      <w:r>
        <w:t xml:space="preserve">: Supporting students with significant mental health needs requires trauma-informed practices. In New Zealand Wellington, schools are increasingly becoming safe havens for students experiencing external stressors.</w:t>
      </w:r>
    </w:p>
    <w:bookmarkEnd w:id="34"/>
    <w:bookmarkEnd w:id="35"/>
    <w:bookmarkStart w:id="37" w:name="future-directions"/>
    <w:p>
      <w:pPr>
        <w:pStyle w:val="Heading1"/>
      </w:pPr>
      <w:r>
        <w:t xml:space="preserve">Future Directions</w:t>
      </w:r>
    </w:p>
    <w:bookmarkStart w:id="36" w:name="Xeefdbca0d18e52925d0a9497a9ce52fe58a1ef4"/>
    <w:p>
      <w:pPr>
        <w:pStyle w:val="Heading2"/>
      </w:pPr>
      <w:r>
        <w:t xml:space="preserve">Towards a More Equitable New Zealand Wellington</w:t>
      </w:r>
    </w:p>
    <w:p>
      <w:pPr>
        <w:pStyle w:val="FirstParagraph"/>
      </w:pPr>
      <w:r>
        <w:t xml:space="preserve">The future of Special Education in New Zealand Wellington lies in stronger community partnerships and digital innovation. As we look ahead, Seminar Presentation Slides like this must encourage continuous professional development focused on:</w:t>
      </w:r>
    </w:p>
    <w:p>
      <w:pPr>
        <w:numPr>
          <w:ilvl w:val="0"/>
          <w:numId w:val="1005"/>
        </w:numPr>
        <w:pStyle w:val="Compact"/>
      </w:pPr>
      <w:r>
        <w:rPr>
          <w:bCs/>
          <w:b/>
        </w:rPr>
        <w:t xml:space="preserve">Tech Integration:</w:t>
      </w:r>
      <w:r>
        <w:t xml:space="preserve">: Leveraging assistive technology to enhance independence for students with disabilities.</w:t>
      </w:r>
    </w:p>
    <w:p>
      <w:pPr>
        <w:numPr>
          <w:ilvl w:val="0"/>
          <w:numId w:val="1005"/>
        </w:numPr>
        <w:pStyle w:val="Compact"/>
      </w:pPr>
      <w:r>
        <w:rPr>
          <w:bCs/>
          <w:b/>
        </w:rPr>
        <w:t xml:space="preserve">Cultural Safety:</w:t>
      </w:r>
      <w:r>
        <w:t xml:space="preserve">: Ongoing training in anti-racist and decolonizing practices within the Special Education framework.</w:t>
      </w:r>
    </w:p>
    <w:p>
      <w:pPr>
        <w:numPr>
          <w:ilvl w:val="0"/>
          <w:numId w:val="1005"/>
        </w:numPr>
        <w:pStyle w:val="Compact"/>
      </w:pPr>
      <w:r>
        <w:t xml:space="preserve">Lifelong Learning:: Focusing not just on school outcomes, but on transition to employment and community living for young adults in Wellington.</w:t>
      </w:r>
    </w:p>
    <w:bookmarkEnd w:id="36"/>
    <w:bookmarkEnd w:id="37"/>
    <w:bookmarkStart w:id="39" w:name="conclusion"/>
    <w:p>
      <w:pPr>
        <w:pStyle w:val="Heading1"/>
      </w:pPr>
      <w:r>
        <w:t xml:space="preserve">Conclusion</w:t>
      </w:r>
    </w:p>
    <w:bookmarkStart w:id="38" w:name="the-heart-of-the-community"/>
    <w:p>
      <w:pPr>
        <w:pStyle w:val="Heading2"/>
      </w:pPr>
      <w:r>
        <w:t xml:space="preserve">The Heart of the Community</w:t>
      </w:r>
    </w:p>
    <w:p>
      <w:pPr>
        <w:pStyle w:val="FirstParagraph"/>
      </w:pPr>
      <w:r>
        <w:t xml:space="preserve">In conclusion, the Special Education Teacher in New Zealand Wellington is a cornerstone of our educational system. They are advocates, cultural brokers, and skilled educators who ensure that diversity is celebrated rather than accommodated merely as an afterthought.</w:t>
      </w:r>
    </w:p>
    <w:p>
      <w:pPr>
        <w:pStyle w:val="BodyText"/>
      </w:pPr>
      <w:r>
        <w:t xml:space="preserve">This Seminar Presentation Slides document has highlighted the complex interplay between national policies like Te Tiriti o Waitangi and local realities in Wellington. By embracing inclusive practices and fostering strong whānau partnerships, Special Education Teachers empower every learner to succeed. Let us commit to supporting these professionals, for in their work lies the true measure of our society’s inclusivity.</w:t>
      </w:r>
    </w:p>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Special Education Teacher in New Zealand Wellington</dc:title>
  <dc:creator/>
  <dc:language>en</dc:language>
  <cp:keywords/>
  <dcterms:created xsi:type="dcterms:W3CDTF">2026-07-30T10:10:25Z</dcterms:created>
  <dcterms:modified xsi:type="dcterms:W3CDTF">2026-07-30T10:10:25Z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