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1" w:name="seminar-presentation-slides"/>
    <w:p>
      <w:pPr>
        <w:pStyle w:val="Heading1"/>
      </w:pPr>
      <w:r>
        <w:t xml:space="preserve">Seminar Presentation Slides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t xml:space="preserve">3a5bdaabbd4bdaabbd4bdaabbd4bdaabd5d630 px; margin-bottom: 20px; border-left: 5px solid #3498db;"&gt;</w:t>
      </w:r>
    </w:p>
    <w:bookmarkEnd w:id="20"/>
    <w:bookmarkStart w:id="23" w:name="X0fdb1d4b4027998b4f4aa0ab9d5f496c66a539f"/>
    <w:p>
      <w:pPr>
        <w:pStyle w:val="Heading1"/>
      </w:pPr>
      <w:r>
        <w:t xml:space="preserve">The Critical Role of the Speech Therapist in Israel Jerusalem</w:t>
      </w:r>
    </w:p>
    <w:p>
      <w:pPr>
        <w:pStyle w:val="FirstParagraph"/>
      </w:pPr>
      <w:r>
        <w:rPr>
          <w:bCs/>
          <w:b/>
        </w:rPr>
        <w:t xml:space="preserve">Subtitle:</w:t>
      </w:r>
      <w:r>
        <w:t xml:space="preserve"> </w:t>
      </w:r>
      <w:r>
        <w:t xml:space="preserve">Navigating Linguistic Diversity, Cultural Nuances, and Clinical Excellence in the Capital City.</w:t>
      </w:r>
    </w:p>
    <w:p>
      <w:pPr>
        <w:pStyle w:val="BodyText"/>
      </w:pPr>
      <w:r>
        <w:rPr>
          <w:iCs/>
          <w:i/>
        </w:rPr>
        <w:t xml:space="preserve">Presentation for Healthcare Professionals, Educators, and Policy Makers in Jerusalem.</w:t>
      </w:r>
    </w:p>
    <w:p>
      <w:pPr>
        <w:numPr>
          <w:ilvl w:val="0"/>
          <w:numId w:val="1001"/>
        </w:numPr>
        <w:pStyle w:val="Compact"/>
      </w:pPr>
      <w:r>
        <w:t xml:space="preserve">Welcome and Introduction of Speakers</w:t>
      </w:r>
    </w:p>
    <w:p>
      <w:pPr>
        <w:numPr>
          <w:ilvl w:val="0"/>
          <w:numId w:val="1001"/>
        </w:numPr>
        <w:pStyle w:val="Compact"/>
      </w:pPr>
      <w:r>
        <w:t xml:space="preserve">Overview of the Seminar Goals</w:t>
      </w:r>
    </w:p>
    <w:p>
      <w:pPr>
        <w:numPr>
          <w:ilvl w:val="0"/>
          <w:numId w:val="1001"/>
        </w:numPr>
      </w:pPr>
      <w:r>
        <w:t xml:space="preserve">The Importance of Speech-Language Pathology (SLP) in Modern Healthcare</w:t>
      </w:r>
    </w:p>
    <w:p>
      <w:pPr>
        <w:numPr>
          <w:ilvl w:val="0"/>
          <w:numId w:val="1000"/>
        </w:numPr>
        <w:pStyle w:val="Heading2"/>
      </w:pPr>
      <w:bookmarkStart w:id="21" w:name="X744f4986c9a55e7742dcfbd7beae9368025a39a"/>
      <w:r>
        <w:t xml:space="preserve">Slide 2: Contextualizing SLP in Jerusalem's Unique Landscape</w:t>
      </w:r>
      <w:bookmarkEnd w:id="21"/>
    </w:p>
    <w:p>
      <w:pPr>
        <w:numPr>
          <w:ilvl w:val="0"/>
          <w:numId w:val="1000"/>
        </w:numPr>
      </w:pPr>
      <w:r>
        <w:rPr>
          <w:bCs/>
          <w:b/>
        </w:rPr>
        <w:t xml:space="preserve">Key Concept:</w:t>
      </w:r>
      <w:r>
        <w:t xml:space="preserve"> </w:t>
      </w:r>
      <w:r>
        <w:t xml:space="preserve">Jerusalem is not just a geographical location; it is a complex socio-cultural ecosystem.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Multilingual Environment:</w:t>
      </w:r>
    </w:p>
    <w:p>
      <w:pPr>
        <w:numPr>
          <w:ilvl w:val="0"/>
          <w:numId w:val="1001"/>
        </w:numPr>
        <w:pStyle w:val="Compact"/>
      </w:pPr>
      <w:r>
        <w:t xml:space="preserve">Cultural Sensitivity: Understanding the diverse cultural backgrounds including ultra-Orthodox communities, secular Jewish populations, Arab-Israeli citizens4bdaabbd4bdaabd5d630 px;"&gt;</w:t>
      </w:r>
    </w:p>
    <w:bookmarkStart w:id="22" w:name="X29db4f6af33e8bcd81ad6560d4ad1c4fb8bb4c0"/>
    <w:p>
      <w:pPr>
        <w:pStyle w:val="Heading2"/>
      </w:pPr>
      <w:r>
        <w:t xml:space="preserve">Slide 3: The Need for Specialized Intervention</w:t>
      </w:r>
    </w:p>
    <w:p>
      <w:pPr>
        <w:pStyle w:val="FirstParagraph"/>
      </w:pPr>
      <w:r>
        <w:rPr>
          <w:bCs/>
          <w:b/>
        </w:rPr>
        <w:t xml:space="preserve">Clinical Diversity:</w:t>
      </w:r>
    </w:p>
    <w:p>
      <w:pPr>
        <w:pStyle w:val="BodyText"/>
      </w:pPr>
      <w:r>
        <w:rPr>
          <w:bCs/>
          <w:b/>
        </w:rPr>
        <w:t xml:space="preserve">Pediatric SLP:</w:t>
      </w:r>
    </w:p>
    <w:p>
      <w:pPr>
        <w:pStyle w:val="BodyText"/>
      </w:pPr>
      <w:r>
        <w:rPr>
          <w:bCs/>
          <w:b/>
        </w:rPr>
        <w:t xml:space="preserve">Adult SLP:</w:t>
      </w:r>
    </w:p>
    <w:bookmarkEnd w:id="22"/>
    <w:bookmarkEnd w:id="23"/>
    <w:bookmarkStart w:id="24" w:name="X5b91e59e24ac4044e944fad13623434508f1eeb"/>
    <w:p>
      <w:pPr>
        <w:pStyle w:val="Heading2"/>
      </w:pPr>
      <w:r>
        <w:t xml:space="preserve">Slide 4: The Speech Therapist as a Multilingual Specialist</w:t>
      </w:r>
    </w:p>
    <w:p>
      <w:pPr>
        <w:pStyle w:val="FirstParagraph"/>
      </w:pPr>
      <w:r>
        <w:rPr>
          <w:bCs/>
          <w:b/>
        </w:rPr>
        <w:t xml:space="preserve">The Linguistic Challenge in Israel Jerusalem:</w:t>
      </w:r>
    </w:p>
    <w:p>
      <w:pPr>
        <w:pStyle w:val="BodyText"/>
      </w:pPr>
      <w:r>
        <w:t xml:space="preserve">Bilingualism is the norm, not the exception. Many families in Jerusalem speak Hebrew at school and Arabic or Russian at home.</w:t>
      </w:r>
    </w:p>
    <w:p>
      <w:pPr>
        <w:pStyle w:val="BodyText"/>
      </w:pPr>
      <w:r>
        <w:rPr>
          <w:bCs/>
          <w:b/>
        </w:rPr>
        <w:t xml:space="preserve">Assessment Tools:</w:t>
      </w:r>
    </w:p>
    <w:bookmarkEnd w:id="24"/>
    <w:bookmarkStart w:id="25" w:name="Xd7cabeb3172375f0050d3d3a416055816b4794d"/>
    <w:p>
      <w:pPr>
        <w:pStyle w:val="Heading2"/>
      </w:pPr>
      <w:r>
        <w:t xml:space="preserve">Slide 5: Working Within the Israeli Healthcare System</w:t>
      </w:r>
    </w:p>
    <w:p>
      <w:pPr>
        <w:pStyle w:val="FirstParagraph"/>
      </w:pPr>
      <w:r>
        <w:rPr>
          <w:bCs/>
          <w:b/>
        </w:rPr>
        <w:t xml:space="preserve">Navigating Kupat Holim (Health Funds):</w:t>
      </w:r>
    </w:p>
    <w:p>
      <w:pPr>
        <w:pStyle w:val="BodyText"/>
      </w:pPr>
      <w:r>
        <w:rPr>
          <w:bCs/>
          <w:b/>
        </w:rPr>
        <w:t xml:space="preserve">Hospital Leumit vs. other funds:</w:t>
      </w:r>
    </w:p>
    <w:p>
      <w:pPr>
        <w:pStyle w:val="BodyText"/>
      </w:pPr>
      <w:r>
        <w:rPr>
          <w:bCs/>
          <w:b/>
        </w:rPr>
        <w:t xml:space="preserve">Referral Pathways:</w:t>
      </w:r>
    </w:p>
    <w:bookmarkEnd w:id="25"/>
    <w:bookmarkStart w:id="26" w:name="X466e329a12f52af45b227317ddd57e1850a0754"/>
    <w:p>
      <w:pPr>
        <w:pStyle w:val="Heading2"/>
      </w:pPr>
      <w:r>
        <w:t xml:space="preserve">Slide 6: Educational Settings and Inclusion</w:t>
      </w:r>
    </w:p>
    <w:p>
      <w:pPr>
        <w:pStyle w:val="FirstParagraph"/>
      </w:pPr>
      <w:r>
        <w:rPr>
          <w:bCs/>
          <w:b/>
        </w:rPr>
        <w:t xml:space="preserve">Schools in Jerusalem:</w:t>
      </w:r>
    </w:p>
    <w:p>
      <w:pPr>
        <w:pStyle w:val="BodyText"/>
      </w:pPr>
      <w:r>
        <w:rPr>
          <w:bCs/>
          <w:b/>
        </w:rPr>
        <w:t xml:space="preserve">Inclusive Education:</w:t>
      </w:r>
    </w:p>
    <w:p>
      <w:pPr>
        <w:pStyle w:val="BodyText"/>
      </w:pPr>
      <w:r>
        <w:rPr>
          <w:bCs/>
          <w:b/>
        </w:rPr>
        <w:t xml:space="preserve">Special Education Schools:</w:t>
      </w:r>
    </w:p>
    <w:bookmarkEnd w:id="26"/>
    <w:bookmarkStart w:id="27" w:name="X4baf1ca511cb319e8629fe2291ea73ca1266fee"/>
    <w:p>
      <w:pPr>
        <w:pStyle w:val="Heading2"/>
      </w:pPr>
      <w:r>
        <w:t xml:space="preserve">Slide 7: Cultural Competence and Community Trust</w:t>
      </w:r>
    </w:p>
    <w:p>
      <w:pPr>
        <w:pStyle w:val="FirstParagraph"/>
      </w:pPr>
      <w:r>
        <w:rPr>
          <w:bCs/>
          <w:b/>
        </w:rPr>
        <w:t xml:space="preserve">Building Rapport:</w:t>
      </w:r>
    </w:p>
    <w:p>
      <w:pPr>
        <w:pStyle w:val="BodyText"/>
      </w:pPr>
      <w:r>
        <w:rPr>
          <w:bCs/>
          <w:b/>
        </w:rPr>
        <w:t xml:space="preserve">Religious Sensitivity:</w:t>
      </w:r>
    </w:p>
    <w:p>
      <w:pPr>
        <w:pStyle w:val="BodyText"/>
      </w:pPr>
      <w:r>
        <w:rPr>
          <w:bCs/>
          <w:b/>
        </w:rPr>
        <w:t xml:space="preserve">Community Outreach:</w:t>
      </w:r>
    </w:p>
    <w:bookmarkEnd w:id="27"/>
    <w:bookmarkStart w:id="28" w:name="slide-8-challenges-and-future-directions"/>
    <w:p>
      <w:pPr>
        <w:pStyle w:val="Heading2"/>
      </w:pPr>
      <w:r>
        <w:t xml:space="preserve">Slide 8: Challenges and Future Directions</w:t>
      </w:r>
    </w:p>
    <w:p>
      <w:pPr>
        <w:pStyle w:val="FirstParagraph"/>
      </w:pPr>
      <w:r>
        <w:rPr>
          <w:bCs/>
          <w:b/>
        </w:rPr>
        <w:t xml:space="preserve">Ongoing Issues:</w:t>
      </w:r>
    </w:p>
    <w:p>
      <w:pPr>
        <w:pStyle w:val="BodyText"/>
      </w:pPr>
      <w:r>
        <w:rPr>
          <w:bCs/>
          <w:b/>
        </w:rPr>
        <w:t xml:space="preserve">Workforce Shortages:</w:t>
      </w:r>
    </w:p>
    <w:p>
      <w:pPr>
        <w:pStyle w:val="BodyText"/>
      </w:pPr>
      <w:r>
        <w:rPr>
          <w:bCs/>
          <w:b/>
        </w:rPr>
        <w:t xml:space="preserve">Tech Integration:</w:t>
      </w:r>
    </w:p>
    <w:bookmarkEnd w:id="28"/>
    <w:bookmarkStart w:id="29" w:name="slide-9-case-study-example"/>
    <w:p>
      <w:pPr>
        <w:pStyle w:val="Heading2"/>
      </w:pPr>
      <w:r>
        <w:t xml:space="preserve">Slide 9: Case Study Example</w:t>
      </w:r>
    </w:p>
    <w:p>
      <w:pPr>
        <w:pStyle w:val="FirstParagraph"/>
      </w:pPr>
      <w:r>
        <w:rPr>
          <w:bCs/>
          <w:b/>
        </w:rPr>
        <w:t xml:space="preserve">A Typical Scenario in Israel Jerusalem:</w:t>
      </w:r>
    </w:p>
    <w:p>
      <w:pPr>
        <w:pStyle w:val="BodyText"/>
      </w:pPr>
      <w:r>
        <w:rPr>
          <w:bCs/>
          <w:b/>
        </w:rPr>
        <w:t xml:space="preserve">Client Profile:</w:t>
      </w:r>
    </w:p>
    <w:p>
      <w:pPr>
        <w:pStyle w:val="BodyText"/>
      </w:pPr>
      <w:r>
        <w:rPr>
          <w:bCs/>
          <w:b/>
        </w:rPr>
        <w:t xml:space="preserve">Intervention Strategy:</w:t>
      </w:r>
    </w:p>
    <w:bookmarkEnd w:id="29"/>
    <w:bookmarkStart w:id="30" w:name="slide-10-conclusion-and-qa"/>
    <w:p>
      <w:pPr>
        <w:pStyle w:val="Heading2"/>
      </w:pPr>
      <w:r>
        <w:t xml:space="preserve">Slide 10: Conclusion and Q&amp;A</w:t>
      </w:r>
    </w:p>
    <w:p>
      <w:pPr>
        <w:pStyle w:val="FirstParagraph"/>
      </w:pPr>
      <w:r>
        <w:rPr>
          <w:bCs/>
          <w:b/>
        </w:rPr>
        <w:t xml:space="preserve">Taking Action:</w:t>
      </w:r>
    </w:p>
    <w:p>
      <w:pPr>
        <w:pStyle w:val="BodyText"/>
      </w:pPr>
      <w:r>
        <w:t xml:space="preserve">The speech therapist is a vital link in the chain of support for individuals with communication disorders in Israel Jerusalem.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Speech Therapist in Israel Jerusalem</dc:title>
  <dc:creator/>
  <dc:language>en</dc:language>
  <cp:keywords/>
  <dcterms:created xsi:type="dcterms:W3CDTF">2026-07-29T15:03:13Z</dcterms:created>
  <dcterms:modified xsi:type="dcterms:W3CDTF">2026-07-29T15:03:13Z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