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Educating for the Future: The Role of the Teacher Primary in New Zealand Auckland.</w:t>
      </w:r>
    </w:p>
    <w:p>
      <w:pPr>
        <w:pStyle w:val="BodyText"/>
      </w:pPr>
      <w:r>
        <w:t xml:space="preserve">This seminar explores the dynamic landscape of early education, focusing on how Teacher Primary professionals shape young minds within the unique cultural and geographical context of New Zealand Auckland.</w:t>
      </w:r>
    </w:p>
    <w:bookmarkEnd w:id="20"/>
    <w:bookmarkStart w:id="21" w:name="welcome-and-introduction"/>
    <w:p>
      <w:pPr>
        <w:pStyle w:val="Heading2"/>
      </w:pPr>
      <w:r>
        <w:t xml:space="preserve">Welcome and Introduction:</w:t>
      </w:r>
    </w:p>
    <w:p>
      <w:pPr>
        <w:pStyle w:val="FirstParagraph"/>
      </w:pPr>
      <w:r>
        <w:t xml:space="preserve">We gather here today to discuss a critical pillar of our society: primary education. In the bustling metropolis of New Zealand Auckland, where diversity meets innovation, the role of the Teacher Primary is not merely about instruction; it is about holistic development, cultural responsiveness, and community engagement. This Seminar Presentation Slides document outlines key strategies for excellence in this vital profession.</w:t>
      </w:r>
    </w:p>
    <w:bookmarkEnd w:id="21"/>
    <w:bookmarkStart w:id="22" w:name="the-context-new-zealand-auckland"/>
    <w:p>
      <w:pPr>
        <w:pStyle w:val="Heading2"/>
      </w:pPr>
      <w:r>
        <w:t xml:space="preserve">The Context: New Zealand Auckland:</w:t>
      </w:r>
    </w:p>
    <w:p>
      <w:pPr>
        <w:pStyle w:val="FirstParagraph"/>
      </w:pPr>
      <w:r>
        <w:t xml:space="preserve">Auckland serves as a melting pot of cultures and backgrounds. For any professional entering the field, understanding the local context is paramount. We must acknowledge that New Zealand Auckland hosts a significant population of Pasifika, Asian, and Māori communities. Therefore, effective teaching strategies must be inclusive and representative of this rich tapestry.</w:t>
      </w:r>
    </w:p>
    <w:p>
      <w:pPr>
        <w:pStyle w:val="BodyText"/>
      </w:pPr>
      <w:r>
        <w:t xml:space="preserve">The urban environment presents specific challenges and opportunities. High student mobility in certain areas requires adaptable curricula. Furthermore the competitive nature of urban schooling demands that educators remain innovative.</w:t>
      </w:r>
    </w:p>
    <w:bookmarkEnd w:id="22"/>
    <w:bookmarkStart w:id="23" w:name="the-core-philosophy"/>
    <w:p>
      <w:pPr>
        <w:pStyle w:val="Heading2"/>
      </w:pPr>
      <w:r>
        <w:t xml:space="preserve">The Core Philosophy:</w:t>
      </w:r>
    </w:p>
    <w:p>
      <w:pPr>
        <w:pStyle w:val="FirstParagraph"/>
      </w:pPr>
      <w:r>
        <w:t xml:space="preserve">Central to our discussion is the concept of holistic education as defined by Te Whāriki, New Zealand’s early childhood curriculum, which sets the stage for primary learning. The Teacher Primary must prioritize wellbeing alongside academic achievement.</w:t>
      </w:r>
    </w:p>
    <w:p>
      <w:pPr>
        <w:pStyle w:val="BodyText"/>
      </w:pPr>
      <w:r>
        <w:t xml:space="preserve">We believe that every child in New Zealand Auckland has unique potential. Our goal is to nurture curiosity, resilience and empathy. This Seminar Presentation Slides highlights the importance of viewing students not just as learners but as members of a broader community.</w:t>
      </w:r>
    </w:p>
    <w:bookmarkEnd w:id="23"/>
    <w:bookmarkStart w:id="24" w:name="X4611a83021b6ea9f7ad9f1d68db9b3900abb2ad"/>
    <w:p>
      <w:pPr>
        <w:pStyle w:val="Heading2"/>
      </w:pPr>
      <w:r>
        <w:t xml:space="preserve">Cultural Competency and Te Tiriti o Waitangi:</w:t>
      </w:r>
    </w:p>
    <w:p>
      <w:pPr>
        <w:pStyle w:val="FirstParagraph"/>
      </w:pPr>
      <w:r>
        <w:t xml:space="preserve">In New Zealand Auckland, professional practice is deeply intertwined with Te Tiriti o Waitangi. Teachers must be partners in education with Māori communities. This involves integrating te reo Māori and tikanga into daily lessons.</w:t>
      </w:r>
    </w:p>
    <w:p>
      <w:pPr>
        <w:pStyle w:val="BodyText"/>
      </w:pPr>
      <w:r>
        <w:t xml:space="preserve">We emphasize the need for continuous professional development regarding cultural safety. Every Teacher Primary must reflect on their own biases and learn how to support indigenous knowledge systems effectively.</w:t>
      </w:r>
    </w:p>
    <w:bookmarkEnd w:id="24"/>
    <w:bookmarkStart w:id="25" w:name="pedagogical-strategies-for-engagement"/>
    <w:p>
      <w:pPr>
        <w:pStyle w:val="Heading2"/>
      </w:pPr>
      <w:r>
        <w:t xml:space="preserve">Pedagogical Strategies for Engagement:</w:t>
      </w:r>
    </w:p>
    <w:p>
      <w:pPr>
        <w:pStyle w:val="FirstParagraph"/>
      </w:pPr>
      <w:r>
        <w:t xml:space="preserve">To maintain engagement in New Zealand Auckland classrooms, educators employ a variety of methods. Inquiry-based learning is favored as it encourages critical thinking and problem-solving skills.</w:t>
      </w:r>
    </w:p>
    <w:p>
      <w:pPr>
        <w:pStyle w:val="BodyText"/>
      </w:pPr>
      <w:r>
        <w:t xml:space="preserve">We also highlight the use of digital literacy tools. As one of the most connected cities globally, Auckland students benefit from integrated technology use that prepares them for future careers while maintaining face-to-face interaction.</w:t>
      </w:r>
    </w:p>
    <w:bookmarkEnd w:id="25"/>
    <w:bookmarkStart w:id="26" w:name="supporting-mental-health-and-wellbeing"/>
    <w:p>
      <w:pPr>
        <w:pStyle w:val="Heading2"/>
      </w:pPr>
      <w:r>
        <w:t xml:space="preserve">Supporting Mental Health and Wellbeing:</w:t>
      </w:r>
    </w:p>
    <w:p>
      <w:pPr>
        <w:pStyle w:val="FirstParagraph"/>
      </w:pPr>
      <w:r>
        <w:t xml:space="preserve">The post-pandemic era has brought new awareness to student wellbeing. The Teacher Primary plays a crucial role as a first responder to emotional distress.</w:t>
      </w:r>
    </w:p>
    <w:p>
      <w:pPr>
        <w:pStyle w:val="BodyText"/>
      </w:pPr>
      <w:r>
        <w:t xml:space="preserve">We recommend establishing strong pastoral care systems. In New Zealand Auckland, this often involves collaboration with local health providers and social services.</w:t>
      </w:r>
    </w:p>
    <w:bookmarkEnd w:id="26"/>
    <w:bookmarkStart w:id="27" w:name="community-engagement"/>
    <w:p>
      <w:pPr>
        <w:pStyle w:val="Heading2"/>
      </w:pPr>
      <w:r>
        <w:t xml:space="preserve">Community Engagement:</w:t>
      </w:r>
    </w:p>
    <w:p>
      <w:pPr>
        <w:pStyle w:val="FirstParagraph"/>
      </w:pPr>
      <w:r>
        <w:t xml:space="preserve">Schools do not exist in isolation. Successful Teacher Primary professionals build strong bridges with whānau and iwi. Regular communication, open doors policies and community events foster trust.</w:t>
      </w:r>
    </w:p>
    <w:p>
      <w:pPr>
        <w:pStyle w:val="BodyText"/>
      </w:pPr>
      <w:r>
        <w:t xml:space="preserve">This Seminar Presentation Slides suggests that parent-teacher interviews should be viewed as collaborative discussions rather than assessments alone.</w:t>
      </w:r>
    </w:p>
    <w:bookmarkEnd w:id="27"/>
    <w:bookmarkStart w:id="28" w:name="inclusive-education-practices"/>
    <w:p>
      <w:pPr>
        <w:pStyle w:val="Heading2"/>
      </w:pPr>
      <w:r>
        <w:t xml:space="preserve">Inclusive Education Practices:</w:t>
      </w:r>
    </w:p>
    <w:p>
      <w:pPr>
        <w:pStyle w:val="FirstParagraph"/>
      </w:pPr>
      <w:r>
        <w:t xml:space="preserve">New Zealand Auckland classrooms are diverse. Supporting students with special educational needs requires patience and specialized training.</w:t>
      </w:r>
    </w:p>
    <w:p>
      <w:pPr>
        <w:pStyle w:val="BodyText"/>
      </w:pPr>
      <w:r>
        <w:t xml:space="preserve">We advocate for Universal Design for Learning principles. These ensure that all students, regardless of ability, can access the curriculum effectively.</w:t>
      </w:r>
    </w:p>
    <w:bookmarkEnd w:id="28"/>
    <w:bookmarkStart w:id="29" w:name="the-teacher-primary-professional"/>
    <w:p>
      <w:pPr>
        <w:pStyle w:val="Heading2"/>
      </w:pPr>
      <w:r>
        <w:t xml:space="preserve">The Teacher Primary Professional:</w:t>
      </w:r>
    </w:p>
    <w:p>
      <w:pPr>
        <w:pStyle w:val="FirstParagraph"/>
      </w:pPr>
      <w:r>
        <w:t xml:space="preserve">Finally, we address the professional itself. Lifelong learning is essential. Staying updated with national standards and local Auckland council requirements is mandatory.</w:t>
      </w:r>
    </w:p>
    <w:p>
      <w:pPr>
        <w:pStyle w:val="BodyText"/>
      </w:pPr>
      <w:r>
        <w:t xml:space="preserve">We encourage networking among peers. Joining professional associations helps maintain high standards across New Zealand Auckland.</w:t>
      </w:r>
    </w:p>
    <w:bookmarkEnd w:id="29"/>
    <w:bookmarkStart w:id="30" w:name="conclusion"/>
    <w:p>
      <w:pPr>
        <w:pStyle w:val="Heading2"/>
      </w:pPr>
      <w:r>
        <w:t xml:space="preserve">Conclusion:</w:t>
      </w:r>
    </w:p>
    <w:p>
      <w:pPr>
        <w:pStyle w:val="FirstParagraph"/>
      </w:pPr>
      <w:r>
        <w:t xml:space="preserve">In conclusion, the role of Teacher Primary in New Zealand Auckland is complex and rewarding. It requires dedication, cultural insight and pedagogical expertise.</w:t>
      </w:r>
    </w:p>
    <w:p>
      <w:pPr>
        <w:pStyle w:val="BodyText"/>
      </w:pPr>
      <w:r>
        <w:t xml:space="preserve">We hope this Seminar Presentation Slides serves as a useful guide for current practitioners and aspiring educators alike. Let us commit to improving outcomes for all children.</w:t>
      </w:r>
    </w:p>
    <w:bookmarkEnd w:id="30"/>
    <w:bookmarkStart w:id="31" w:name="references"/>
    <w:p>
      <w:pPr>
        <w:pStyle w:val="Heading2"/>
      </w:pPr>
      <w:r>
        <w:t xml:space="preserve">References:</w:t>
      </w:r>
    </w:p>
    <w:p>
      <w:pPr>
        <w:pStyle w:val="FirstParagraph"/>
      </w:pPr>
      <w:r>
        <w:t xml:space="preserve">- New Zealand Curriculum Framework.</w:t>
      </w:r>
      <w:r>
        <w:br/>
      </w:r>
      <w:r>
        <w:t xml:space="preserve">- Ministry of Education Guidelines for Auckland Region.</w:t>
      </w:r>
      <w:r>
        <w:br/>
      </w:r>
      <w:r>
        <w:t xml:space="preserve">- Te Tiriti o Waitangi Principles in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New Zealand Auckland</dc:title>
  <dc:creator/>
  <dc:language>en</dc:language>
  <cp:keywords/>
  <dcterms:created xsi:type="dcterms:W3CDTF">2026-07-30T07:11:45Z</dcterms:created>
  <dcterms:modified xsi:type="dcterms:W3CDTF">2026-07-30T07:11:45Z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