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Australia</w:t>
      </w:r>
      <w:r>
        <w:t xml:space="preserve"> </w:t>
      </w:r>
      <w:r>
        <w:t xml:space="preserve">Melbourne</w:t>
      </w:r>
    </w:p>
    <w:bookmarkStart w:id="27" w:name="X53df8405bf1b01a77b2e99779e46ff6c45b312b"/>
    <w:p>
      <w:pPr>
        <w:pStyle w:val="Heading1"/>
      </w:pPr>
      <w:r>
        <w:t xml:space="preserve">Seminar Presentation Slides: Navigating the Path to Becoming a Teacher Secondary in Australia Melbourne</w:t>
      </w:r>
    </w:p>
    <w:bookmarkStart w:id="20" w:name="welcome-and-introduction"/>
    <w:p>
      <w:pPr>
        <w:pStyle w:val="Heading2"/>
      </w:pPr>
      <w:r>
        <w:t xml:space="preserve">Welcome and Introduction</w:t>
      </w:r>
    </w:p>
    <w:p>
      <w:pPr>
        <w:pStyle w:val="FirstParagraph"/>
      </w:pPr>
      <w:r>
        <w:rPr>
          <w:bCs/>
          <w:b/>
        </w:rPr>
        <w:t xml:space="preserve">Welcome, educators, aspiring teachers, and educational stakeholders.</w:t>
      </w:r>
    </w:p>
    <w:p>
      <w:pPr>
        <w:pStyle w:val="BodyText"/>
      </w:pPr>
      <w:r>
        <w:t xml:space="preserve">Today’s seminar is dedicated to the comprehensive journey of becoming a qualified Secondary School Teacher within the vibrant educational landscape of Australia Melbourne. This presentation aims to dissect the rigorous requirements, cultural nuances, and professional expectations that define this critical role. As Melbourne consistently ranks among the top cities globally for liveability and education quality, understanding how to effectively operate as a secondary teacher here is paramount for both domestic graduates and international professionals seeking to contribute to Victoria’s dynamic school system.</w:t>
      </w:r>
    </w:p>
    <w:p>
      <w:pPr>
        <w:pStyle w:val="BodyText"/>
      </w:pPr>
      <w:r>
        <w:t xml:space="preserve">We will explore the regulatory frameworks set by the Victorian Institute of Teaching (VIT), the pedagogical shifts required in modern classrooms, and the specific cultural competencies needed to engage with Melbourne’s diverse student population. By the end of this session, participants will possess a clear roadmap for professional registration and classroom excellence.</w:t>
      </w:r>
    </w:p>
    <w:bookmarkEnd w:id="20"/>
    <w:bookmarkStart w:id="21" w:name="Xdc62ae96151bb1af8bede56b013e3f1c6f9e53f"/>
    <w:p>
      <w:pPr>
        <w:pStyle w:val="Heading2"/>
      </w:pPr>
      <w:r>
        <w:t xml:space="preserve">The Regulatory Landscape: Understanding VIT Requirements</w:t>
      </w:r>
    </w:p>
    <w:p>
      <w:pPr>
        <w:pStyle w:val="FirstParagraph"/>
      </w:pPr>
      <w:r>
        <w:t xml:space="preserve">Becoming a Teacher Secondary in Australia Melbourne is not merely about subject mastery; it is a regulated profession governed by the Victorian Institute of Teaching (VIT). Unlike other sectors, teaching requires mandatory registration to practice legally in government and non-government schools. This section outlines the essential steps for professional accreditation.</w:t>
      </w:r>
    </w:p>
    <w:p>
      <w:pPr>
        <w:numPr>
          <w:ilvl w:val="0"/>
          <w:numId w:val="1001"/>
        </w:numPr>
        <w:pStyle w:val="Compact"/>
      </w:pPr>
      <w:r>
        <w:rPr>
          <w:bCs/>
          <w:b/>
        </w:rPr>
        <w:t xml:space="preserve">Initial Teacher Education Programs:</w:t>
      </w:r>
      <w:r>
        <w:t xml:space="preserve"> </w:t>
      </w:r>
      <w:r>
        <w:t xml:space="preserve">Candidates must complete an approved teacher education program, such as a Master of Teaching (Secondary) or a Bachelor of Education (Secondary). These programs are accredited by the VIT and include substantial practical teaching placements across various years levels.</w:t>
      </w:r>
    </w:p>
    <w:p>
      <w:pPr>
        <w:numPr>
          <w:ilvl w:val="0"/>
          <w:numId w:val="1001"/>
        </w:numPr>
        <w:pStyle w:val="Compact"/>
      </w:pPr>
      <w:r>
        <w:rPr>
          <w:bCs/>
          <w:b/>
        </w:rPr>
        <w:t xml:space="preserve">National Assessment:</w:t>
      </w:r>
      <w:r>
        <w:t xml:space="preserve"> </w:t>
      </w:r>
      <w:r>
        <w:t xml:space="preserve">Prospective teachers in Australia Melbourne must pass literacy and numeracy assessments. While recent reforms have streamlined this process, maintaining high standards in these core areas remains a non-negotiable prerequisite for registration.</w:t>
      </w:r>
    </w:p>
    <w:p>
      <w:pPr>
        <w:numPr>
          <w:ilvl w:val="0"/>
          <w:numId w:val="1001"/>
        </w:numPr>
        <w:pStyle w:val="Compact"/>
      </w:pPr>
      <w:r>
        <w:rPr>
          <w:bCs/>
          <w:b/>
        </w:rPr>
        <w:t xml:space="preserve">Criminal History Checks:</w:t>
      </w:r>
      <w:r>
        <w:t xml:space="preserve"> </w:t>
      </w:r>
      <w:r>
        <w:t xml:space="preserve">A Working with Children Check (WWCC) is mandatory for all teachers. In Victoria, this check is integrated into the VIT registration process but requires careful adherence to timing and disclosure protocols to ensure student safety and regulatory compliance.</w:t>
      </w:r>
    </w:p>
    <w:p>
      <w:pPr>
        <w:numPr>
          <w:ilvl w:val="0"/>
          <w:numId w:val="1001"/>
        </w:numPr>
        <w:pStyle w:val="Compact"/>
      </w:pPr>
      <w:r>
        <w:rPr>
          <w:bCs/>
          <w:b/>
        </w:rPr>
        <w:t xml:space="preserve">Ongoing Professional Development:</w:t>
      </w:r>
      <w:r>
        <w:t xml:space="preserve"> </w:t>
      </w:r>
      <w:r>
        <w:t xml:space="preserve">Once registered as a Graduate Teacher, educators must engage in continuous professional development (CPD). This ensures that teachers in Melbourne remain updated with the latest pedagogical strategies, curriculum changes, and child protection laws.</w:t>
      </w:r>
    </w:p>
    <w:bookmarkEnd w:id="21"/>
    <w:bookmarkStart w:id="22" w:name="X44c66d64e0b643aadd3d35b644ae7aa39b6ad4d"/>
    <w:p>
      <w:pPr>
        <w:pStyle w:val="Heading2"/>
      </w:pPr>
      <w:r>
        <w:t xml:space="preserve">Pedagogical Frameworks: The Australian Curriculum and Victoria</w:t>
      </w:r>
    </w:p>
    <w:p>
      <w:pPr>
        <w:pStyle w:val="FirstParagraph"/>
      </w:pPr>
      <w:r>
        <w:t xml:space="preserve">A successful Teacher Secondary in Australia Melbourne must navigate the intersection of the national Australian Curriculum and Victorian-specific implementation strategies. Unlike some other countries where a centralized syllabus is strictly enforced, Australia allows for some flexibility, yet core learning areas remain standardized to ensure consistency across states.</w:t>
      </w:r>
    </w:p>
    <w:p>
      <w:pPr>
        <w:pStyle w:val="BodyText"/>
      </w:pPr>
      <w:r>
        <w:rPr>
          <w:bCs/>
          <w:b/>
        </w:rPr>
        <w:t xml:space="preserve">Key Focus Areas:</w:t>
      </w:r>
    </w:p>
    <w:p>
      <w:pPr>
        <w:numPr>
          <w:ilvl w:val="0"/>
          <w:numId w:val="1002"/>
        </w:numPr>
        <w:pStyle w:val="Compact"/>
      </w:pPr>
      <w:r>
        <w:rPr>
          <w:bCs/>
          <w:b/>
        </w:rPr>
        <w:t xml:space="preserve">The Australian Curriculum:</w:t>
      </w:r>
      <w:r>
        <w:t xml:space="preserve">This provides the foundation for content descriptions and achievement standards. Teachers must be adept at unpacking these standards to create lesson plans that are rigorous yet accessible. In Melbourne’s secondary schools, there is a strong emphasis on critical thinking, creativity, and digital literacy embedded within subjects ranging from Mathematics to the Humanities.</w:t>
      </w:r>
    </w:p>
    <w:p>
      <w:pPr>
        <w:numPr>
          <w:ilvl w:val="0"/>
          <w:numId w:val="1002"/>
        </w:numPr>
        <w:pStyle w:val="Compact"/>
      </w:pPr>
      <w:r>
        <w:rPr>
          <w:bCs/>
          <w:b/>
        </w:rPr>
        <w:t xml:space="preserve">VCE and VCAL Pathways:</w:t>
      </w:r>
      <w:r>
        <w:t xml:space="preserve"> </w:t>
      </w:r>
      <w:r>
        <w:t xml:space="preserve">Victoria has its own senior secondary certificates: the Victorian Certificate of Education (VCE) and previously VET in Schools. Teachers must understand these pathways to guide students effectively toward university entrance or vocational careers. This requires a nuanced understanding of assessment criteria, internal school assessments, and external examinations set by the Victorian Curriculum and Assessment Authority (VCAA).</w:t>
      </w:r>
    </w:p>
    <w:p>
      <w:pPr>
        <w:numPr>
          <w:ilvl w:val="0"/>
          <w:numId w:val="1002"/>
        </w:numPr>
        <w:pStyle w:val="Compact"/>
      </w:pPr>
      <w:r>
        <w:rPr>
          <w:bCs/>
          <w:b/>
        </w:rPr>
        <w:t xml:space="preserve">Differentiation Strategies:</w:t>
      </w:r>
      <w:r>
        <w:t xml:space="preserve"> </w:t>
      </w:r>
      <w:r>
        <w:t xml:space="preserve">Classrooms in Melbourne are increasingly diverse. Teachers must employ differentiated instruction to support students with varying abilities, including those with disabilities or those learning English as an Additional Language (EAL/D). This adaptability is a hallmark of effective secondary teaching in the region.</w:t>
      </w:r>
    </w:p>
    <w:bookmarkEnd w:id="22"/>
    <w:bookmarkStart w:id="23" w:name="X45fc6829e4e75519164a8773ed7c5727fb25df0"/>
    <w:p>
      <w:pPr>
        <w:pStyle w:val="Heading2"/>
      </w:pPr>
      <w:r>
        <w:t xml:space="preserve">Cultural Competency and Inclusive Education</w:t>
      </w:r>
    </w:p>
    <w:p>
      <w:pPr>
        <w:pStyle w:val="FirstParagraph"/>
      </w:pPr>
      <w:r>
        <w:t xml:space="preserve">Melbourne is widely recognized as one of the most culturally diverse cities in the world. For a Teacher Secondary working in this environment, cultural competency is not optional; it is central to effective pedagogy. The student body often includes first-generation Australians, refugees, and students from a myriad of linguistic backgrounds.</w:t>
      </w:r>
    </w:p>
    <w:p>
      <w:pPr>
        <w:pStyle w:val="BodyText"/>
      </w:pPr>
      <w:r>
        <w:rPr>
          <w:bCs/>
          <w:b/>
        </w:rPr>
        <w:t xml:space="preserve">Key Strategies for Cultural Responsiveness:</w:t>
      </w:r>
    </w:p>
    <w:p>
      <w:pPr>
        <w:numPr>
          <w:ilvl w:val="0"/>
          <w:numId w:val="1003"/>
        </w:numPr>
        <w:pStyle w:val="Compact"/>
      </w:pPr>
      <w:r>
        <w:rPr>
          <w:bCs/>
          <w:b/>
        </w:rPr>
        <w:t xml:space="preserve">Acknowledgment of Country:</w:t>
      </w:r>
      <w:r>
        <w:t xml:space="preserve"> </w:t>
      </w:r>
      <w:r>
        <w:t xml:space="preserve">Teachers are expected to integrate Acknowledgments of Country into their practice, respecting the traditional owners of the land where schools are situated. This fosters respect and connects students with Indigenous heritage.</w:t>
      </w:r>
    </w:p>
    <w:p>
      <w:pPr>
        <w:numPr>
          <w:ilvl w:val="0"/>
          <w:numId w:val="1003"/>
        </w:numPr>
        <w:pStyle w:val="Compact"/>
      </w:pPr>
      <w:r>
        <w:rPr>
          <w:bCs/>
          <w:b/>
        </w:rPr>
        <w:t xml:space="preserve">EAL/D Support:</w:t>
      </w:r>
      <w:r>
        <w:t xml:space="preserve"> </w:t>
      </w:r>
      <w:r>
        <w:t xml:space="preserve">A significant portion of Melbourne’s secondary students speak a language other than English at home. Teachers must collaborate closely with EAL/D specialists to scaffold learning materials, ensuring that language barriers do not impede content understanding. This involves using visual aids, simplified instructions, and peer-support systems.</w:t>
      </w:r>
    </w:p>
    <w:p>
      <w:pPr>
        <w:numPr>
          <w:ilvl w:val="0"/>
          <w:numId w:val="1003"/>
        </w:numPr>
        <w:pStyle w:val="Compact"/>
      </w:pPr>
      <w:r>
        <w:rPr>
          <w:bCs/>
          <w:b/>
        </w:rPr>
        <w:t xml:space="preserve">Mental Health Awareness:</w:t>
      </w:r>
      <w:r>
        <w:t xml:space="preserve"> </w:t>
      </w:r>
      <w:r>
        <w:t xml:space="preserve">Post-pandemic secondary education in Melbourne has seen a heightened focus on student wellbeing. Teachers are often the first line of defense in identifying signs of anxiety, depression, or social isolation. Understanding the connection between mental health and academic performance is crucial for creating supportive classroom environments.</w:t>
      </w:r>
    </w:p>
    <w:bookmarkEnd w:id="23"/>
    <w:bookmarkStart w:id="24" w:name="X8813ec7ac4c5f3f7f7cb3cb5291d416714f6fe2"/>
    <w:p>
      <w:pPr>
        <w:pStyle w:val="Heading2"/>
      </w:pPr>
      <w:r>
        <w:t xml:space="preserve">The Role of Technology and Digital Literacy</w:t>
      </w:r>
    </w:p>
    <w:p>
      <w:pPr>
        <w:pStyle w:val="FirstParagraph"/>
      </w:pPr>
      <w:r>
        <w:t xml:space="preserve">In the modern Australian secondary classroom, technology is not an add-on but a fundamental tool for learning. Melbourne schools are well-equipped with digital infrastructure, from interactive whiteboards to individual laptop programs. As a Teacher Secondary in this context, one must be proficient in using Learning Management Systems (LMS) such as Google Classroom or Canvas.</w:t>
      </w:r>
    </w:p>
    <w:p>
      <w:pPr>
        <w:pStyle w:val="BodyText"/>
      </w:pPr>
      <w:r>
        <w:rPr>
          <w:bCs/>
          <w:b/>
        </w:rPr>
        <w:t xml:space="preserve">Digital Citizenship:</w:t>
      </w:r>
    </w:p>
    <w:p>
      <w:pPr>
        <w:numPr>
          <w:ilvl w:val="0"/>
          <w:numId w:val="1004"/>
        </w:numPr>
        <w:pStyle w:val="Compact"/>
      </w:pPr>
      <w:r>
        <w:rPr>
          <w:bCs/>
          <w:b/>
        </w:rPr>
        <w:t xml:space="preserve">E-Safety:</w:t>
      </w:r>
      <w:r>
        <w:t xml:space="preserve"> </w:t>
      </w:r>
      <w:r>
        <w:t xml:space="preserve">Teachers play a vital role in educating students about online safety, cyberbullying, and responsible digital citizenship. Curriculum guidelines mandate that these topics are integrated across subjects.</w:t>
      </w:r>
    </w:p>
    <w:p>
      <w:pPr>
        <w:numPr>
          <w:ilvl w:val="0"/>
          <w:numId w:val="1004"/>
        </w:numPr>
        <w:pStyle w:val="Compact"/>
      </w:pPr>
      <w:r>
        <w:rPr>
          <w:bCs/>
          <w:b/>
        </w:rPr>
        <w:t xml:space="preserve">Innovative Pedagogy:</w:t>
      </w:r>
      <w:r>
        <w:t xml:space="preserve"> </w:t>
      </w:r>
      <w:r>
        <w:t xml:space="preserve">Leveraging technology to enhance collaboration and creativity is expected. This includes using data analytics to track student progress, employing virtual reality for immersive history or science lessons, and utilizing collaborative platforms for group projects.</w:t>
      </w:r>
    </w:p>
    <w:bookmarkEnd w:id="24"/>
    <w:bookmarkStart w:id="25" w:name="career-pathways-and-professional-growth"/>
    <w:p>
      <w:pPr>
        <w:pStyle w:val="Heading2"/>
      </w:pPr>
      <w:r>
        <w:t xml:space="preserve">Career Pathways and Professional Growth</w:t>
      </w:r>
    </w:p>
    <w:p>
      <w:pPr>
        <w:pStyle w:val="FirstParagraph"/>
      </w:pPr>
      <w:r>
        <w:t xml:space="preserve">The career trajectory for a Teacher Secondary in Australia Melbourne offers robust opportunities for advancement. After gaining experience as a Graduate Teacher, educators can progress to Proficient or Highly Accomplished teacher standards, each requiring evidence of impact on student learning and peer mentorship.</w:t>
      </w:r>
    </w:p>
    <w:p>
      <w:pPr>
        <w:pStyle w:val="BodyText"/>
      </w:pPr>
      <w:r>
        <w:rPr>
          <w:bCs/>
          <w:b/>
        </w:rPr>
        <w:t xml:space="preserve">Mentorship and Leadership:</w:t>
      </w:r>
    </w:p>
    <w:p>
      <w:pPr>
        <w:numPr>
          <w:ilvl w:val="0"/>
          <w:numId w:val="1005"/>
        </w:numPr>
        <w:pStyle w:val="Compact"/>
      </w:pPr>
      <w:r>
        <w:rPr>
          <w:bCs/>
          <w:b/>
        </w:rPr>
        <w:t xml:space="preserve">Mentoring New Teachers:</w:t>
      </w:r>
      <w:r>
        <w:t xml:space="preserve">S experienced teachers often take on formal mentoring roles for graduates. This collaborative culture strengthens the professional community within Melbourne schools.</w:t>
      </w:r>
    </w:p>
    <w:p>
      <w:pPr>
        <w:numPr>
          <w:ilvl w:val="0"/>
          <w:numId w:val="1005"/>
        </w:numPr>
        <w:pStyle w:val="Compact"/>
      </w:pPr>
      <w:r>
        <w:rPr>
          <w:bCs/>
          <w:b/>
        </w:rPr>
        <w:t xml:space="preserve">Specialist Roles:</w:t>
      </w:r>
      <w:r>
        <w:t xml:space="preserve">Teachers may specialize in areas such as leadership, special education coordination, or curriculum development. These roles allow educators to influence school-wide policies and improve educational outcomes beyond their immediate classroom.</w:t>
      </w:r>
    </w:p>
    <w:bookmarkEnd w:id="25"/>
    <w:bookmarkStart w:id="26" w:name="conclusion-commitment-to-excellence"/>
    <w:p>
      <w:pPr>
        <w:pStyle w:val="Heading2"/>
      </w:pPr>
      <w:r>
        <w:t xml:space="preserve">Conclusion: Commitment to Excellence</w:t>
      </w:r>
    </w:p>
    <w:p>
      <w:pPr>
        <w:pStyle w:val="FirstParagraph"/>
      </w:pPr>
      <w:r>
        <w:t xml:space="preserve">In conclusion, becoming a Teacher Secondary in Australia Melbourne is a rewarding yet demanding profession that requires adherence to strict regulatory standards, deep cultural understanding, and pedagogical innovation. It demands resilience, empathy, and a lifelong commitment to learning.</w:t>
      </w:r>
    </w:p>
    <w:p>
      <w:pPr>
        <w:pStyle w:val="BodyText"/>
      </w:pPr>
      <w:r>
        <w:t xml:space="preserve">Melbourne’s schools benefit greatly from educators who are not only knowledgeable in their subject areas but also attuned to the diverse needs of their students. By embracing the frameworks of the VIT, integrating inclusive practices, and leveraging technology, teachers can make a profound impact on young lives. This seminar has provided a foundational overview; we encourage all attendees to further engage with professional networks and continue their journey toward excellence in secondary education.</w:t>
      </w:r>
    </w:p>
    <w:p>
      <w:pPr>
        <w:pStyle w:val="BodyText"/>
      </w:pPr>
      <w:r>
        <w:rPr>
          <w:iCs/>
          <w:i/>
        </w:rPr>
        <w:t xml:space="preserve">Thank you for your attention. We now open the floor for questions regarding specific registration pathways or classroom strategies.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Australia Melbourne</dc:title>
  <dc:creator/>
  <dc:language>en</dc:language>
  <cp:keywords/>
  <dcterms:created xsi:type="dcterms:W3CDTF">2026-07-29T16:05:24Z</dcterms:created>
  <dcterms:modified xsi:type="dcterms:W3CDTF">2026-07-29T16:05:24Z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