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Medellín</w:t>
      </w:r>
    </w:p>
    <w:bookmarkStart w:id="44" w:name="X9157690daeb72379f4a3283a0f744c9ea46401f"/>
    <w:p>
      <w:pPr>
        <w:pStyle w:val="Heading1"/>
      </w:pPr>
      <w:r>
        <w:t xml:space="preserve">Seminar Presentation Slides: The Secondary Teacher in the Context of Colombia Medellín</w:t>
      </w:r>
    </w:p>
    <w:bookmarkStart w:id="22" w:name="X24d18e9c62b7ae290d128ed4575a52e03dea238"/>
    <w:p>
      <w:pPr>
        <w:pStyle w:val="Heading2"/>
      </w:pPr>
      <w:r>
        <w:t xml:space="preserve">Title: Navigating the Educational Landscape of Colombia Medellín</w:t>
      </w:r>
    </w:p>
    <w:p>
      <w:pPr>
        <w:pStyle w:val="FirstParagraph"/>
      </w:pPr>
      <w:r>
        <w:rPr>
          <w:bCs/>
          <w:b/>
        </w:rPr>
        <w:t xml:space="preserve">Presenter:</w:t>
      </w:r>
      <w:r>
        <w:t xml:space="preserve"> </w:t>
      </w:r>
      <w:r>
        <w:t xml:space="preserve">Education Policy Specialist</w:t>
      </w:r>
      <w:r>
        <w:br/>
      </w:r>
      <w:r>
        <w:rPr>
          <w:bCs/>
          <w:b/>
        </w:rPr>
        <w:t xml:space="preserve">Date:</w:t>
      </w:r>
      <w:r>
        <w:t xml:space="preserve"> </w:t>
      </w:r>
      <w:r>
        <w:t xml:space="preserve">October 2023</w:t>
      </w:r>
      <w:r>
        <w:br/>
      </w:r>
      <w:r>
        <w:rPr>
          <w:bCs/>
          <w:b/>
        </w:rPr>
        <w:t xml:space="preserve">Audience:</w:t>
      </w:r>
      <w:r>
        <w:t xml:space="preserve"> </w:t>
      </w:r>
      <w:r>
        <w:t xml:space="preserve">Ministry of National Education Officials, School Administrators, and Teacher Training Institutions in Colombia Medellín.</w:t>
      </w:r>
    </w:p>
    <w:bookmarkStart w:id="20" w:name="purpose-of-this-seminar"/>
    <w:p>
      <w:pPr>
        <w:pStyle w:val="Heading3"/>
      </w:pPr>
      <w:r>
        <w:t xml:space="preserve">Purpose of this Seminar</w:t>
      </w:r>
    </w:p>
    <w:p>
      <w:pPr>
        <w:pStyle w:val="FirstParagraph"/>
      </w:pPr>
      <w:r>
        <w:t xml:space="preserve">This presentation aims to provide a comprehensive analysis of the role, challenges, and strategic opportunities for the Teacher Secondary educator within the specific socio-cultural context of Colombia Medellín. As we navigate post-pandemic educational recovery and ongoing social transformation, understanding the unique position of secondary teachers in one of Colombia’s most vibrant cities is crucial.</w:t>
      </w:r>
    </w:p>
    <w:bookmarkEnd w:id="20"/>
    <w:bookmarkStart w:id="21" w:name="why-focus-on-colombia-medellín"/>
    <w:p>
      <w:pPr>
        <w:pStyle w:val="Heading3"/>
      </w:pPr>
      <w:r>
        <w:t xml:space="preserve">Why Focus on Colombia Medellín?</w:t>
      </w:r>
    </w:p>
    <w:p>
      <w:pPr>
        <w:pStyle w:val="FirstParagraph"/>
      </w:pPr>
      <w:r>
        <w:rPr>
          <w:bCs/>
          <w:b/>
        </w:rPr>
        <w:t xml:space="preserve">Seminar Presentation Slides</w:t>
      </w:r>
      <w:r>
        <w:t xml:space="preserve"> </w:t>
      </w:r>
      <w:r>
        <w:t xml:space="preserve">serve as our primary vehicle for disseminating this critical information. We have chosen Colombia Medellín not merely because it is a major urban center, but because it represents the complex intersection of rapid modernization, historical socio-economic disparities, and educational innovation. The city has transformed from a symbol of conflict to a hub of social urbanism and technological advancement. However, these gains present new pedagogical demands on our Teacher Secondary professionals.</w:t>
      </w:r>
    </w:p>
    <w:bookmarkEnd w:id="21"/>
    <w:bookmarkEnd w:id="22"/>
    <w:bookmarkStart w:id="25" w:name="the-role-of-the-modern-teacher-secondary"/>
    <w:p>
      <w:pPr>
        <w:pStyle w:val="Heading2"/>
      </w:pPr>
      <w:r>
        <w:t xml:space="preserve">The Role of the Modern Teacher Secondary</w:t>
      </w:r>
    </w:p>
    <w:p>
      <w:pPr>
        <w:pStyle w:val="FirstParagraph"/>
      </w:pPr>
      <w:r>
        <w:t xml:space="preserve">In the secondary education sector, particularly in Colombia Medellín, the role of a teacher has evolved significantly. The traditional model of knowledge transmission is obsolete. Today’s Teacher Secondary acts as a facilitator, mentor, and social agent.</w:t>
      </w:r>
    </w:p>
    <w:bookmarkStart w:id="23" w:name="pedagogical-shifts"/>
    <w:p>
      <w:pPr>
        <w:pStyle w:val="Heading3"/>
      </w:pPr>
      <w:r>
        <w:t xml:space="preserve">Pedagogical Shifts</w:t>
      </w:r>
    </w:p>
    <w:p>
      <w:pPr>
        <w:numPr>
          <w:ilvl w:val="0"/>
          <w:numId w:val="1001"/>
        </w:numPr>
        <w:pStyle w:val="Compact"/>
      </w:pPr>
      <w:r>
        <w:rPr>
          <w:bCs/>
          <w:b/>
        </w:rPr>
        <w:t xml:space="preserve">Inquiry-Based Learning:</w:t>
      </w:r>
      <w:r>
        <w:t xml:space="preserve"> </w:t>
      </w:r>
      <w:r>
        <w:t xml:space="preserve">Moving away from rote memorization to critical thinking and problem-solving skills, essential for the Colombian youth workforce.</w:t>
      </w:r>
    </w:p>
    <w:p>
      <w:pPr>
        <w:numPr>
          <w:ilvl w:val="0"/>
          <w:numId w:val="1001"/>
        </w:numPr>
        <w:pStyle w:val="Compact"/>
      </w:pPr>
      <w:r>
        <w:rPr>
          <w:bCs/>
          <w:b/>
        </w:rPr>
        <w:t xml:space="preserve">Tech Integration:</w:t>
      </w:r>
    </w:p>
    <w:p>
      <w:pPr>
        <w:numPr>
          <w:ilvl w:val="0"/>
          <w:numId w:val="1001"/>
        </w:numPr>
        <w:pStyle w:val="Compact"/>
      </w:pPr>
      <w:r>
        <w:rPr>
          <w:bCs/>
          <w:b/>
        </w:rPr>
        <w:t xml:space="preserve">Holistic Development:</w:t>
      </w:r>
      <w:r>
        <w:t xml:space="preserve"> </w:t>
      </w:r>
      <w:r>
        <w:t xml:space="preserve">Addressing not only academic needs but also the emotional and social well-being of adolescents who face specific urban challenges.</w:t>
      </w:r>
    </w:p>
    <w:bookmarkEnd w:id="23"/>
    <w:bookmarkStart w:id="24" w:name="social-responsibility"/>
    <w:p>
      <w:pPr>
        <w:pStyle w:val="Heading3"/>
      </w:pPr>
      <w:r>
        <w:t xml:space="preserve">Social Responsibility</w:t>
      </w:r>
    </w:p>
    <w:p>
      <w:pPr>
        <w:pStyle w:val="FirstParagraph"/>
      </w:pPr>
      <w:r>
        <w:t xml:space="preserve">The Teacher Secondary in Colombia Medellín often serves as a beacon of stability in communities experiencing high levels of violence or economic instability. They are expected to foster values of citizenship, peacebuilding, and social coexistence (convivencia escolar), which are vital for the nation’s ongoing reconciliation process.</w:t>
      </w:r>
    </w:p>
    <w:bookmarkEnd w:id="24"/>
    <w:bookmarkEnd w:id="25"/>
    <w:bookmarkStart w:id="28" w:name="X283daea1529c9f6af8b68da37b6fb8645785784"/>
    <w:p>
      <w:pPr>
        <w:pStyle w:val="Heading2"/>
      </w:pPr>
      <w:r>
        <w:t xml:space="preserve">Contextual Challenges in Colombia Medellín</w:t>
      </w:r>
    </w:p>
    <w:p>
      <w:pPr>
        <w:pStyle w:val="FirstParagraph"/>
      </w:pPr>
      <w:r>
        <w:t xml:space="preserve">To effectively support Teacher Secondary educators, we must acknowledge the specific hurdles they face within the geography and demographics of Colombia Medellín.</w:t>
      </w:r>
    </w:p>
    <w:bookmarkStart w:id="26" w:name="inequality-and-access"/>
    <w:p>
      <w:pPr>
        <w:pStyle w:val="Heading3"/>
      </w:pPr>
      <w:r>
        <w:t xml:space="preserve">Inequality and Access</w:t>
      </w:r>
    </w:p>
    <w:p>
      <w:pPr>
        <w:pStyle w:val="FirstParagraph"/>
      </w:pPr>
      <w:r>
        <w:rPr>
          <w:bCs/>
          <w:b/>
        </w:rPr>
        <w:t xml:space="preserve">Seminar Presentation Slides</w:t>
      </w:r>
      <w:r>
        <w:t xml:space="preserve"> </w:t>
      </w:r>
      <w:r>
        <w:t xml:space="preserve">highlight that while Medellín has invested heavily in "Cable Cars" (Metrocable) to connect rural-urban fringes, educational resources remain uneven. Teachers in the northwest and southwest comunaes often lack basic infrastructure compared to those in the central areas.</w:t>
      </w:r>
    </w:p>
    <w:p>
      <w:pPr>
        <w:pStyle w:val="BodyText"/>
      </w:pPr>
      <w:r>
        <w:t xml:space="preserve">The Post-Pandemic Recovery</w:t>
      </w:r>
    </w:p>
    <w:p>
      <w:pPr>
        <w:pStyle w:val="BodyText"/>
      </w:pPr>
      <w:r>
        <w:t xml:space="preserve">The "lost year" of 2020 has had a profound impact on student engagement. Secondary teachers are now tasked with remedial teaching while managing high-stakes state exams (Pruebas Saber 11). This dual burden requires significant psychological and professional support systems that are currently under-resourced.</w:t>
      </w:r>
    </w:p>
    <w:bookmarkEnd w:id="26"/>
    <w:bookmarkStart w:id="27" w:name="teacher-retention"/>
    <w:p>
      <w:pPr>
        <w:pStyle w:val="Heading3"/>
      </w:pPr>
      <w:r>
        <w:t xml:space="preserve">Teacher Retention</w:t>
      </w:r>
    </w:p>
    <w:p>
      <w:pPr>
        <w:pStyle w:val="FirstParagraph"/>
      </w:pPr>
      <w:r>
        <w:t xml:space="preserve">Burnout rates among Teacher Secondary professionals in Colombia Medellín are alarming. Low remuneration relative to the cost of living in a growing city, combined with high-stress classroom environments, leads to high turnover. This disrupts student continuity and institutional memory.</w:t>
      </w:r>
    </w:p>
    <w:bookmarkEnd w:id="27"/>
    <w:bookmarkEnd w:id="28"/>
    <w:bookmarkStart w:id="32" w:name="strategic-opportunities-for-growth"/>
    <w:p>
      <w:pPr>
        <w:pStyle w:val="Heading2"/>
      </w:pPr>
      <w:r>
        <w:t xml:space="preserve">Strategic Opportunities for Growth</w:t>
      </w:r>
    </w:p>
    <w:p>
      <w:pPr>
        <w:pStyle w:val="FirstParagraph"/>
      </w:pPr>
      <w:r>
        <w:t xml:space="preserve">Navigating these challenges reveals several strategic opportunities where targeted interventions can yield significant results for the Teacher Secondary cadre in Colombia Medellín.</w:t>
      </w:r>
    </w:p>
    <w:bookmarkStart w:id="29" w:name="leveraging-local-innovation"/>
    <w:p>
      <w:pPr>
        <w:pStyle w:val="Heading3"/>
      </w:pPr>
      <w:r>
        <w:t xml:space="preserve">Leveraging Local Innovation</w:t>
      </w:r>
    </w:p>
    <w:p>
      <w:pPr>
        <w:pStyle w:val="FirstParagraph"/>
      </w:pPr>
      <w:r>
        <w:t xml:space="preserve">Medellín is a global leader in social urbanism. Educational policies should mirror this by integrating community assets into the classroom. Teachers should be encouraged to use local museums, libraries, and cultural centers as extensions of their classrooms.</w:t>
      </w:r>
    </w:p>
    <w:bookmarkEnd w:id="29"/>
    <w:bookmarkStart w:id="30" w:name="digital-inclusion-initiatives"/>
    <w:p>
      <w:pPr>
        <w:pStyle w:val="Heading3"/>
      </w:pPr>
      <w:r>
        <w:t xml:space="preserve">Digital Inclusion Initiatives</w:t>
      </w:r>
    </w:p>
    <w:p>
      <w:pPr>
        <w:pStyle w:val="FirstParagraph"/>
      </w:pPr>
      <w:r>
        <w:t xml:space="preserve">The "Medellín Ciudad Inteligente" (Intelligent City) initiative offers a framework for expanding broadband access in schools. For the Teacher Secondary educator, this means better tools for differentiated instruction and remote collaboration with peers across different comunaes.</w:t>
      </w:r>
    </w:p>
    <w:bookmarkEnd w:id="30"/>
    <w:bookmarkStart w:id="31" w:name="mental-health-support"/>
    <w:p>
      <w:pPr>
        <w:pStyle w:val="Heading3"/>
      </w:pPr>
      <w:r>
        <w:t xml:space="preserve">Mental Health Support</w:t>
      </w:r>
    </w:p>
    <w:p>
      <w:pPr>
        <w:pStyle w:val="FirstParagraph"/>
      </w:pPr>
      <w:r>
        <w:t xml:space="preserve">We propose a dedicated "Well-being Protocol" for Teacher Secondary staff. This includes regular counseling services, peer-support groups, and reduced administrative workloads to allow more time for direct student interaction.</w:t>
      </w:r>
    </w:p>
    <w:bookmarkEnd w:id="31"/>
    <w:bookmarkEnd w:id="32"/>
    <w:bookmarkStart w:id="35" w:name="the-framework-of-the-educational-policy"/>
    <w:p>
      <w:pPr>
        <w:pStyle w:val="Heading2"/>
      </w:pPr>
      <w:r>
        <w:t xml:space="preserve">The Framework of the Educational Policy</w:t>
      </w:r>
    </w:p>
    <w:p>
      <w:pPr>
        <w:pStyle w:val="FirstParagraph"/>
      </w:pPr>
      <w:r>
        <w:t xml:space="preserve">All initiatives must align with the National Ministry of Education’s guidelines while respecting local autonomy. In Colombia Medellín, this means balancing national standards with local cultural identities.</w:t>
      </w:r>
    </w:p>
    <w:bookmarkStart w:id="33" w:name="competency-based-curriculum"/>
    <w:p>
      <w:pPr>
        <w:pStyle w:val="Heading3"/>
      </w:pPr>
      <w:r>
        <w:t xml:space="preserve">Competency-Based Curriculum</w:t>
      </w:r>
    </w:p>
    <w:p>
      <w:pPr>
        <w:pStyle w:val="FirstParagraph"/>
      </w:pPr>
      <w:r>
        <w:t xml:space="preserve">The Teacher Secondary must be trained not just in subject matter (Math, Science, Language) but in competency development. This involves assessing students based on their ability to apply knowledge in real-world scenarios relevant to the Colombian context.</w:t>
      </w:r>
    </w:p>
    <w:bookmarkEnd w:id="33"/>
    <w:bookmarkStart w:id="34" w:name="diversity-and-inclusion"/>
    <w:p>
      <w:pPr>
        <w:pStyle w:val="Heading3"/>
      </w:pPr>
      <w:r>
        <w:t xml:space="preserve">Diversity and Inclusion</w:t>
      </w:r>
    </w:p>
    <w:p>
      <w:pPr>
        <w:pStyle w:val="FirstParagraph"/>
      </w:pPr>
      <w:r>
        <w:t xml:space="preserve">Middle schools and high schools in Colombia Medellín are increasingly diverse. Teachers must be equipped with strategies for inclusive education, catering to students with disabilities, indigenous heritage, or Afro-Colombian backgrounds.</w:t>
      </w:r>
    </w:p>
    <w:bookmarkEnd w:id="34"/>
    <w:bookmarkEnd w:id="35"/>
    <w:bookmarkStart w:id="38" w:name="the-impact-of-technology-on-teaching"/>
    <w:p>
      <w:pPr>
        <w:pStyle w:val="Heading2"/>
      </w:pPr>
      <w:r>
        <w:t xml:space="preserve">The Impact of Technology on Teaching</w:t>
      </w:r>
    </w:p>
    <w:p>
      <w:pPr>
        <w:pStyle w:val="FirstParagraph"/>
      </w:pPr>
      <w:r>
        <w:t xml:space="preserve">In our analysis within these Seminar Presentation Slides, technology stands out as both a bridge and a barrier. For the Teacher Secondary in Colombia Medellín, technological proficiency is no longer optional.</w:t>
      </w:r>
    </w:p>
    <w:bookmarkStart w:id="36" w:name="digital-literacy-for-teachers"/>
    <w:p>
      <w:pPr>
        <w:pStyle w:val="Heading3"/>
      </w:pPr>
      <w:r>
        <w:t xml:space="preserve">Digital Literacy for Teachers</w:t>
      </w:r>
    </w:p>
    <w:p>
      <w:pPr>
        <w:pStyle w:val="FirstParagraph"/>
      </w:pPr>
      <w:r>
        <w:t xml:space="preserve">We recommend mandatory professional development workshops focused on LMS (Learning Management Systems) and AI-assisted grading tools. These technologies can reduce administrative burdens, allowing teachers to focus on mentorship.</w:t>
      </w:r>
    </w:p>
    <w:bookmarkEnd w:id="36"/>
    <w:bookmarkStart w:id="37" w:name="bridging-the-gap"/>
    <w:p>
      <w:pPr>
        <w:pStyle w:val="Heading3"/>
      </w:pPr>
      <w:r>
        <w:t xml:space="preserve">Bridging the Gap</w:t>
      </w:r>
    </w:p>
    <w:p>
      <w:pPr>
        <w:pStyle w:val="FirstParagraph"/>
      </w:pPr>
      <w:r>
        <w:t xml:space="preserve">Schools must establish "Tech Labs" where students without home internet can access resources under teacher supervision. This ensures that the Teacher Secondary educator is not penalized for the digital divide but is rather empowered to lead digital equity efforts.</w:t>
      </w:r>
    </w:p>
    <w:bookmarkEnd w:id="37"/>
    <w:bookmarkEnd w:id="38"/>
    <w:bookmarkStart w:id="41" w:name="pedagogical-leadership-and-community"/>
    <w:p>
      <w:pPr>
        <w:pStyle w:val="Heading2"/>
      </w:pPr>
      <w:r>
        <w:t xml:space="preserve">Pedagogical Leadership and Community</w:t>
      </w:r>
    </w:p>
    <w:p>
      <w:pPr>
        <w:pStyle w:val="FirstParagraph"/>
      </w:pPr>
      <w:r>
        <w:t xml:space="preserve">The most successful Teacher Secondary educators in Colombia Medellín are those who engage deeply with their communities. Education does not happen in a vacuum.</w:t>
      </w:r>
    </w:p>
    <w:bookmarkStart w:id="39" w:name="parental-engagement"/>
    <w:p>
      <w:pPr>
        <w:pStyle w:val="Heading3"/>
      </w:pPr>
      <w:r>
        <w:t xml:space="preserve">Parental Engagement</w:t>
      </w:r>
    </w:p>
    <w:p>
      <w:pPr>
        <w:pStyle w:val="FirstParagraph"/>
      </w:pPr>
      <w:r>
        <w:t xml:space="preserve">Schools must move beyond traditional parent-teacher meetings. Innovative formats, such as community workshops led by teachers, can build trust and ensure parents are partners in the learning process.</w:t>
      </w:r>
    </w:p>
    <w:bookmarkEnd w:id="39"/>
    <w:bookmarkStart w:id="40" w:name="cross-sector-collaboration"/>
    <w:p>
      <w:pPr>
        <w:pStyle w:val="Heading3"/>
      </w:pPr>
      <w:r>
        <w:t xml:space="preserve">Cross-Sector Collaboration</w:t>
      </w:r>
    </w:p>
    <w:p>
      <w:pPr>
        <w:pStyle w:val="FirstParagraph"/>
      </w:pPr>
      <w:r>
        <w:t xml:space="preserve">We envision a model where Teacher Secondary educators collaborate with local NGOs and government social programs. This holistic approach ensures that students' basic needs (nutrition, health) are met, thereby creating an environment conducive to learning.</w:t>
      </w:r>
    </w:p>
    <w:bookmarkEnd w:id="40"/>
    <w:bookmarkEnd w:id="41"/>
    <w:bookmarkStart w:id="43" w:name="conclusion-a-call-to-action"/>
    <w:p>
      <w:pPr>
        <w:pStyle w:val="Heading2"/>
      </w:pPr>
      <w:r>
        <w:t xml:space="preserve">Conclusion: A Call to Action</w:t>
      </w:r>
    </w:p>
    <w:p>
      <w:pPr>
        <w:pStyle w:val="FirstParagraph"/>
      </w:pPr>
      <w:r>
        <w:t xml:space="preserve">The future of Colombia Medellín rests significantly on the shoulders of its Teacher Secondary professionals. As outlined in these Seminar Presentation Slides, their role is complex, demanding, yet immensely rewarding.</w:t>
      </w:r>
    </w:p>
    <w:bookmarkStart w:id="42" w:name="synthesis"/>
    <w:p>
      <w:pPr>
        <w:pStyle w:val="Heading3"/>
      </w:pPr>
      <w:r>
        <w:t xml:space="preserve">Synthesis</w:t>
      </w:r>
    </w:p>
    <w:p>
      <w:pPr>
        <w:numPr>
          <w:ilvl w:val="0"/>
          <w:numId w:val="1002"/>
        </w:numPr>
        <w:pStyle w:val="Compact"/>
      </w:pPr>
      <w:r>
        <w:t xml:space="preserve">We must invest in continuous professional development tailored to the Colombian context.</w:t>
      </w:r>
    </w:p>
    <w:p>
      <w:pPr>
        <w:numPr>
          <w:ilvl w:val="0"/>
          <w:numId w:val="1002"/>
        </w:numPr>
        <w:pStyle w:val="Compact"/>
      </w:pPr>
      <w:r>
        <w:t xml:space="preserve">We must address the socio-emotional needs of teachers and students alike.</w:t>
      </w:r>
    </w:p>
    <w:p>
      <w:pPr>
        <w:numPr>
          <w:ilvl w:val="0"/>
          <w:numId w:val="1002"/>
        </w:numPr>
        <w:pStyle w:val="Compact"/>
      </w:pPr>
      <w:r>
        <w:t xml:space="preserve">We must leverage technology to bridge, not widen, existing gaps.</w:t>
      </w:r>
    </w:p>
    <w:p>
      <w:pPr>
        <w:pStyle w:val="FirstParagraph"/>
      </w:pPr>
      <w:r>
        <w:rPr>
          <w:bCs/>
          <w:b/>
        </w:rPr>
        <w:t xml:space="preserve">Final Thought:</w:t>
      </w:r>
    </w:p>
    <w:p>
      <w:pPr>
        <w:pStyle w:val="BodyText"/>
      </w:pPr>
      <w:r>
        <w:t xml:space="preserve">To truly support the Teacher Secondary in Colombia Medellín, we need a systemic approach that values education not just as an economic driver, but as the foundation of social peace and cultural pride. By empowering our educators, we empower the future of our city and nation.</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Colombia Medellín</dc:title>
  <dc:creator/>
  <dc:language>en</dc:language>
  <cp:keywords/>
  <dcterms:created xsi:type="dcterms:W3CDTF">2026-07-29T20:58:44Z</dcterms:created>
  <dcterms:modified xsi:type="dcterms:W3CDTF">2026-07-29T20:58:44Z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