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Frankfurt</w:t>
      </w:r>
    </w:p>
    <w:bookmarkStart w:id="21" w:name="X27790b8ebe9e64c6c6c46713be93be7315c09ce"/>
    <w:p>
      <w:pPr>
        <w:pStyle w:val="Heading1"/>
      </w:pPr>
      <w:r>
        <w:t xml:space="preserve">Seminar Presentation Slides: The Role of the Teacher Secondary in Germany Frankfurt</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Institute for Educational Development, Frankfurt am Main</w:t>
      </w:r>
    </w:p>
    <w:bookmarkStart w:id="20" w:name="welcome-and-introduction"/>
    <w:p>
      <w:pPr>
        <w:pStyle w:val="Heading2"/>
      </w:pPr>
      <w:r>
        <w:t xml:space="preserve">Welcome and Introduction</w:t>
      </w:r>
    </w:p>
    <w:p>
      <w:pPr>
        <w:pStyle w:val="FirstParagraph"/>
      </w:pPr>
      <w:r>
        <w:t xml:space="preserve">Welcome to this comprehensive seminar presentation designed specifically for prospective and current secondary school teachers within the dynamic educational landscape of Germany. This session focuses on the critical role of the</w:t>
      </w:r>
      <w:r>
        <w:t xml:space="preserve"> </w:t>
      </w:r>
      <w:r>
        <w:rPr>
          <w:bCs/>
          <w:b/>
        </w:rPr>
        <w:t xml:space="preserve">Teacher Secondary</w:t>
      </w:r>
      <w:r>
        <w:t xml:space="preserve">, with a particular emphasis on the unique challenges, opportunities, and pedagogical expectations found in</w:t>
      </w:r>
      <w:r>
        <w:t xml:space="preserve"> </w:t>
      </w:r>
      <w:r>
        <w:rPr>
          <w:bCs/>
          <w:b/>
        </w:rPr>
        <w:t xml:space="preserve">Germany Frankfurt</w:t>
      </w:r>
      <w:r>
        <w:t xml:space="preserve">.</w:t>
      </w:r>
    </w:p>
    <w:p>
      <w:pPr>
        <w:pStyle w:val="BodyText"/>
      </w:pPr>
      <w:r>
        <w:t xml:space="preserve">Frankfurt am Main is not only a financial hub but also a melting pot of cultures. As educators here, you are at the forefront of shaping future citizens in one of Europe's most diverse cities. This presentation will guide you through the structural requirements, cultural competencies, and professional development pathways necessary for success.</w:t>
      </w:r>
    </w:p>
    <w:bookmarkEnd w:id="20"/>
    <w:bookmarkEnd w:id="21"/>
    <w:bookmarkStart w:id="22" w:name="the-educational-landscape-in-germany"/>
    <w:p>
      <w:pPr>
        <w:pStyle w:val="Heading2"/>
      </w:pPr>
      <w:r>
        <w:t xml:space="preserve">The Educational Landscape in Germany</w:t>
      </w:r>
    </w:p>
    <w:p>
      <w:pPr>
        <w:pStyle w:val="FirstParagraph"/>
      </w:pPr>
      <w:r>
        <w:t xml:space="preserve">To understand the position of the secondary teacher, one must first understand the German school system. Unlike many other countries, Germany employs a tracked school system after primary education. This structure places significant responsibility on secondary teachers to guide students through critical academic decisions.</w:t>
      </w:r>
    </w:p>
    <w:p>
      <w:pPr>
        <w:numPr>
          <w:ilvl w:val="0"/>
          <w:numId w:val="1001"/>
        </w:numPr>
        <w:pStyle w:val="Compact"/>
      </w:pPr>
      <w:r>
        <w:rPr>
          <w:bCs/>
          <w:b/>
        </w:rPr>
        <w:t xml:space="preserve">Hauptschule:</w:t>
      </w:r>
      <w:r>
        <w:t xml:space="preserve"> </w:t>
      </w:r>
      <w:r>
        <w:t xml:space="preserve">Focuses on general education and vocational preparation.</w:t>
      </w:r>
    </w:p>
    <w:p>
      <w:pPr>
        <w:numPr>
          <w:ilvl w:val="0"/>
          <w:numId w:val="1001"/>
        </w:numPr>
        <w:pStyle w:val="Compact"/>
      </w:pPr>
      <w:r>
        <w:rPr>
          <w:bCs/>
          <w:b/>
        </w:rPr>
        <w:t xml:space="preserve">Realschule:</w:t>
      </w:r>
      <w:r>
        <w:t xml:space="preserve"> </w:t>
      </w:r>
      <w:r>
        <w:t xml:space="preserve">Provides intermediate general education, often leading to technical careers.</w:t>
      </w:r>
    </w:p>
    <w:p>
      <w:pPr>
        <w:numPr>
          <w:ilvl w:val="0"/>
          <w:numId w:val="1001"/>
        </w:numPr>
        <w:pStyle w:val="Compact"/>
      </w:pPr>
      <w:r>
        <w:rPr>
          <w:bCs/>
          <w:b/>
        </w:rPr>
        <w:t xml:space="preserve">Gymnasium:</w:t>
      </w:r>
      <w:r>
        <w:t xml:space="preserve">The academic track leading to the Abitur (university entrance qualification).</w:t>
      </w:r>
    </w:p>
    <w:p>
      <w:pPr>
        <w:numPr>
          <w:ilvl w:val="0"/>
          <w:numId w:val="1001"/>
        </w:numPr>
        <w:pStyle w:val="Compact"/>
      </w:pPr>
      <w:r>
        <w:rPr>
          <w:bCs/>
          <w:b/>
        </w:rPr>
        <w:t xml:space="preserve">Gesamtschule/Gymnasium combined schools:</w:t>
      </w:r>
      <w:r>
        <w:t xml:space="preserve">An increasing trend in major cities like Frankfurt, promoting inclusive education across tracks.</w:t>
      </w:r>
    </w:p>
    <w:p>
      <w:pPr>
        <w:pStyle w:val="FirstParagraph"/>
      </w:pPr>
      <w:r>
        <w:t xml:space="preserve">In Frankfurt, the distinction between these tracks is becoming less rigid due to demographic shifts. The modern</w:t>
      </w:r>
      <w:r>
        <w:t xml:space="preserve"> </w:t>
      </w:r>
      <w:r>
        <w:rPr>
          <w:bCs/>
          <w:b/>
        </w:rPr>
        <w:t xml:space="preserve">Teacher Secondary</w:t>
      </w:r>
      <w:r>
        <w:t xml:space="preserve"> </w:t>
      </w:r>
      <w:r>
        <w:t xml:space="preserve">must be adaptable, capable of teaching mixed-ability classes while maintaining high academic standards.</w:t>
      </w:r>
    </w:p>
    <w:bookmarkEnd w:id="22"/>
    <w:bookmarkStart w:id="25" w:name="the-unique-context-of-germany-frankfurt"/>
    <w:p>
      <w:pPr>
        <w:pStyle w:val="Heading2"/>
      </w:pPr>
      <w:r>
        <w:t xml:space="preserve">The Unique Context of Germany Frankfurt</w:t>
      </w:r>
    </w:p>
    <w:p>
      <w:pPr>
        <w:pStyle w:val="FirstParagraph"/>
      </w:pPr>
      <w:r>
        <w:t xml:space="preserve">Frankfurt am Main presents a specific set of challenges and opportunities for educators. As one of the most internationally connected cities in Germany, the student body is incredibly diverse.</w:t>
      </w:r>
    </w:p>
    <w:bookmarkStart w:id="23" w:name="cultural-diversity-and-integration"/>
    <w:p>
      <w:pPr>
        <w:pStyle w:val="Heading3"/>
      </w:pPr>
      <w:r>
        <w:t xml:space="preserve">Cultural Diversity and Integration</w:t>
      </w:r>
    </w:p>
    <w:p>
      <w:pPr>
        <w:pStyle w:val="FirstParagraph"/>
      </w:pPr>
      <w:r>
        <w:t xml:space="preserve">A significant portion of students in Frankfurt have a migrant background. The role of the</w:t>
      </w:r>
      <w:r>
        <w:t xml:space="preserve"> </w:t>
      </w:r>
      <w:r>
        <w:rPr>
          <w:bCs/>
          <w:b/>
        </w:rPr>
        <w:t xml:space="preserve">Teacher Secondary</w:t>
      </w:r>
      <w:r>
        <w:t xml:space="preserve"> </w:t>
      </w:r>
      <w:r>
        <w:t xml:space="preserve">extends beyond subject matter instruction to include facilitating cultural integration and social cohesion. Teachers must navigate linguistic barriers, varying educational backgrounds from abroad, and differing cultural expectations regarding authority and learning.</w:t>
      </w:r>
    </w:p>
    <w:bookmarkEnd w:id="23"/>
    <w:bookmarkStart w:id="24" w:name="the-bildungsmetropole-status"/>
    <w:p>
      <w:pPr>
        <w:pStyle w:val="Heading3"/>
      </w:pPr>
      <w:r>
        <w:t xml:space="preserve">The "Bildungsmetropole" Status</w:t>
      </w:r>
    </w:p>
    <w:p>
      <w:pPr>
        <w:pStyle w:val="FirstParagraph"/>
      </w:pPr>
      <w:r>
        <w:t xml:space="preserve">Frankfurt markets itself as a "Education Metropolis." This status implies high expectations for innovation. Schools here are encouraged to adopt digital learning tools, project-based learning, and international partnerships. The local Hessian Ministry of Education (Hessisches Kultusministerium) provides specific support structures for Frankfurt schools, but the pressure to perform and innovate is palpable.</w:t>
      </w:r>
    </w:p>
    <w:bookmarkEnd w:id="24"/>
    <w:bookmarkEnd w:id="25"/>
    <w:bookmarkStart w:id="26" w:name="X8aeaa6110bc7c19e646879f2e8a23bcef80edc7"/>
    <w:p>
      <w:pPr>
        <w:pStyle w:val="Heading2"/>
      </w:pPr>
      <w:r>
        <w:t xml:space="preserve">Pedagogical Competencies for the Modern Teacher</w:t>
      </w:r>
    </w:p>
    <w:p>
      <w:pPr>
        <w:pStyle w:val="FirstParagraph"/>
      </w:pPr>
      <w:r>
        <w:t xml:space="preserve">Becoming a qualified</w:t>
      </w:r>
      <w:r>
        <w:t xml:space="preserve"> </w:t>
      </w:r>
      <w:r>
        <w:rPr>
          <w:bCs/>
          <w:b/>
        </w:rPr>
        <w:t xml:space="preserve">Teacher Secondary</w:t>
      </w:r>
      <w:r>
        <w:t xml:space="preserve"> </w:t>
      </w:r>
      <w:r>
        <w:t xml:space="preserve">in Germany requires rigorous academic training, typically involving a university degree followed by the two-year Referendariat (pre-service teaching phase). However, qualifications alone are insufficient in the Frankfurt context.</w:t>
      </w:r>
    </w:p>
    <w:p>
      <w:pPr>
        <w:numPr>
          <w:ilvl w:val="0"/>
          <w:numId w:val="1002"/>
        </w:numPr>
        <w:pStyle w:val="Compact"/>
      </w:pPr>
      <w:r>
        <w:rPr>
          <w:bCs/>
          <w:b/>
        </w:rPr>
        <w:t xml:space="preserve">Differentiated Instruction:</w:t>
      </w:r>
      <w:r>
        <w:t xml:space="preserve">The ability to tailor lessons to students with varying levels of proficiency in German. This is crucial for immigrant children who may be fluent in conversation but lack academic vocabulary.</w:t>
      </w:r>
    </w:p>
    <w:p>
      <w:pPr>
        <w:numPr>
          <w:ilvl w:val="0"/>
          <w:numId w:val="1002"/>
        </w:numPr>
        <w:pStyle w:val="Compact"/>
      </w:pPr>
      <w:r>
        <w:rPr>
          <w:iCs/>
          <w:i/>
        </w:rPr>
        <w:t xml:space="preserve">Bildungssprache</w:t>
      </w:r>
      <w:r>
        <w:t xml:space="preserve">(Academic Language): Teachers must explicitly teach the language required for academic success, not just social interaction.</w:t>
      </w:r>
    </w:p>
    <w:p>
      <w:pPr>
        <w:numPr>
          <w:ilvl w:val="0"/>
          <w:numId w:val="1002"/>
        </w:numPr>
        <w:pStyle w:val="Compact"/>
      </w:pPr>
      <w:r>
        <w:rPr>
          <w:bCs/>
          <w:b/>
        </w:rPr>
        <w:t xml:space="preserve">Digital Literacy:</w:t>
      </w:r>
      <w:r>
        <w:t xml:space="preserve">Frankfurt schools are increasingly digitized. Proficiency with platforms like IServ (common in Hessian schools) and smart classroom technologies is mandatory.</w:t>
      </w:r>
    </w:p>
    <w:p>
      <w:pPr>
        <w:numPr>
          <w:ilvl w:val="0"/>
          <w:numId w:val="1002"/>
        </w:numPr>
        <w:pStyle w:val="Compact"/>
      </w:pPr>
      <w:r>
        <w:rPr>
          <w:bCs/>
          <w:b/>
        </w:rPr>
        <w:t xml:space="preserve">Inclusive Education:</w:t>
      </w:r>
      <w:r>
        <w:t xml:space="preserve">Mandatory training for students with special needs is now integrated into general secondary classrooms. Teachers must collaborate closely with Special Needs Educators (Sonderschulpädagogen).</w:t>
      </w:r>
    </w:p>
    <w:bookmarkEnd w:id="26"/>
    <w:bookmarkStart w:id="29" w:name="Xb37de5b4191a7eb83c1cc4758fac34b3b558f6d"/>
    <w:p>
      <w:pPr>
        <w:pStyle w:val="Heading2"/>
      </w:pPr>
      <w:r>
        <w:t xml:space="preserve">Professional Development and Continuing Education</w:t>
      </w:r>
    </w:p>
    <w:p>
      <w:pPr>
        <w:pStyle w:val="FirstParagraph"/>
      </w:pPr>
      <w:r>
        <w:t xml:space="preserve">The career of a secondary teacher in Germany is viewed as a lifelong learning process. In Frankfurt, the local education authority (Schulamt) offers extensive continuing education programs.</w:t>
      </w:r>
    </w:p>
    <w:bookmarkStart w:id="27" w:name="certification-and-accreditation"/>
    <w:p>
      <w:pPr>
        <w:pStyle w:val="Heading3"/>
      </w:pPr>
      <w:r>
        <w:t xml:space="preserve">Certification and Accreditation</w:t>
      </w:r>
    </w:p>
    <w:p>
      <w:pPr>
        <w:pStyle w:val="FirstParagraph"/>
      </w:pPr>
      <w:r>
        <w:t xml:space="preserve">Teachers are expected to engage in regular professional development. For those in Frankfurt, there are specific seminars focused on "Migration as a Resource." These courses help teachers reframe diversity not as a deficit, but as an asset for the classroom community.</w:t>
      </w:r>
    </w:p>
    <w:bookmarkEnd w:id="27"/>
    <w:bookmarkStart w:id="28" w:name="mentorship-and-collaboration"/>
    <w:p>
      <w:pPr>
        <w:pStyle w:val="Heading3"/>
      </w:pPr>
      <w:r>
        <w:t xml:space="preserve">Mentorship and Collaboration</w:t>
      </w:r>
    </w:p>
    <w:p>
      <w:pPr>
        <w:pStyle w:val="FirstParagraph"/>
      </w:pPr>
      <w:r>
        <w:t xml:space="preserve">New</w:t>
      </w:r>
      <w:r>
        <w:t xml:space="preserve"> </w:t>
      </w:r>
      <w:r>
        <w:rPr>
          <w:bCs/>
          <w:b/>
        </w:rPr>
        <w:t xml:space="preserve">Teacher Secondary</w:t>
      </w:r>
      <w:r>
        <w:t xml:space="preserve"> </w:t>
      </w:r>
      <w:r>
        <w:t xml:space="preserve">professionals in Frankfurt are often paired with experienced mentors during their first years. Additionally, school-based teams (Schulische Arbeitsgemeinschaften) meet regularly to discuss cross-disciplinary projects, such as linking history with German language studies to improve historical literacy among all students.</w:t>
      </w:r>
    </w:p>
    <w:bookmarkEnd w:id="28"/>
    <w:bookmarkEnd w:id="29"/>
    <w:bookmarkStart w:id="30" w:name="X04071f86d2b0ec72052f7636e6a0d82b882b384"/>
    <w:p>
      <w:pPr>
        <w:pStyle w:val="Heading2"/>
      </w:pPr>
      <w:r>
        <w:t xml:space="preserve">The Role of the Teacher in Community Engagement</w:t>
      </w:r>
    </w:p>
    <w:p>
      <w:pPr>
        <w:pStyle w:val="FirstParagraph"/>
      </w:pPr>
      <w:r>
        <w:t xml:space="preserve">In the Frankfurt context, teachers are expected to be active members of the local community. Parental engagement can be complex due to cultural differences.</w:t>
      </w:r>
    </w:p>
    <w:p>
      <w:pPr>
        <w:numPr>
          <w:ilvl w:val="0"/>
          <w:numId w:val="1003"/>
        </w:numPr>
        <w:pStyle w:val="Compact"/>
      </w:pPr>
      <w:r>
        <w:rPr>
          <w:bCs/>
          <w:b/>
        </w:rPr>
        <w:t xml:space="preserve">Parent-Teacher Conferences:</w:t>
      </w:r>
      <w:r>
        <w:t xml:space="preserve">Taking place twice a year, these meetings are critical. Teachers must communicate clearly with parents who may not speak German, often utilizing translation services or bilingual parent volunteers available in many Frankfurt schools.</w:t>
      </w:r>
    </w:p>
    <w:p>
      <w:pPr>
        <w:numPr>
          <w:ilvl w:val="0"/>
          <w:numId w:val="1003"/>
        </w:numPr>
        <w:pStyle w:val="Compact"/>
      </w:pPr>
      <w:r>
        <w:rPr>
          <w:bCs/>
          <w:b/>
        </w:rPr>
        <w:t xml:space="preserve">School Partnerships:</w:t>
      </w:r>
      <w:r>
        <w:t xml:space="preserve">Frankfurt schools frequently partner with local businesses, museums (such as the Städel Museum), and universities (Goethe University Frankfurt). The</w:t>
      </w:r>
      <w:r>
        <w:t xml:space="preserve"> </w:t>
      </w:r>
      <w:r>
        <w:rPr>
          <w:bCs/>
          <w:b/>
        </w:rPr>
        <w:t xml:space="preserve">Teacher Secondary</w:t>
      </w:r>
      <w:r>
        <w:t xml:space="preserve"> </w:t>
      </w:r>
      <w:r>
        <w:t xml:space="preserve">acts as a liaison, bringing real-world applications into the classroom.</w:t>
      </w:r>
    </w:p>
    <w:p>
      <w:pPr>
        <w:numPr>
          <w:ilvl w:val="0"/>
          <w:numId w:val="1003"/>
        </w:numPr>
        <w:pStyle w:val="Compact"/>
      </w:pPr>
      <w:r>
        <w:rPr>
          <w:iCs/>
          <w:i/>
        </w:rPr>
        <w:t xml:space="preserve">Bildungsplan 2016:</w:t>
      </w:r>
      <w:r>
        <w:t xml:space="preserve">This is the current curriculum framework for Hesse. It emphasizes "Learning to Learn." Teachers must foster autonomy in students, preparing them for an increasingly automated global workforce.</w:t>
      </w:r>
    </w:p>
    <w:bookmarkEnd w:id="30"/>
    <w:bookmarkStart w:id="33" w:name="evaluating-student-performance"/>
    <w:p>
      <w:pPr>
        <w:pStyle w:val="Heading2"/>
      </w:pPr>
      <w:r>
        <w:t xml:space="preserve">Evaluating Student Performance</w:t>
      </w:r>
    </w:p>
    <w:p>
      <w:pPr>
        <w:pStyle w:val="FirstParagraph"/>
      </w:pPr>
      <w:r>
        <w:t xml:space="preserve">The assessment system in Germany is rigorous and standardized. For secondary teachers, this means a heavy emphasis on written examinations and formal grading.</w:t>
      </w:r>
    </w:p>
    <w:bookmarkStart w:id="31" w:name="the-grading-scale"/>
    <w:p>
      <w:pPr>
        <w:pStyle w:val="Heading3"/>
      </w:pPr>
      <w:r>
        <w:t xml:space="preserve">The Grading Scale</w:t>
      </w:r>
    </w:p>
    <w:p>
      <w:pPr>
        <w:pStyle w:val="FirstParagraph"/>
      </w:pPr>
      <w:r>
        <w:t xml:space="preserve">Greece uses a six-point scale: 1 (Sehr Gut/Very Good) to 6 (Ungenügend/Insufficient). Understanding the nuances of this system is vital. In Frankfurt, there is a growing movement towards competency-based assessment, where students demonstrate skills through projects rather than just written tests.</w:t>
      </w:r>
    </w:p>
    <w:bookmarkEnd w:id="31"/>
    <w:bookmarkStart w:id="32" w:name="fairness-and-bias"/>
    <w:p>
      <w:pPr>
        <w:pStyle w:val="Heading3"/>
      </w:pPr>
      <w:r>
        <w:t xml:space="preserve">Fairness and Bias</w:t>
      </w:r>
    </w:p>
    <w:p>
      <w:pPr>
        <w:pStyle w:val="FirstParagraph"/>
      </w:pPr>
      <w:r>
        <w:t xml:space="preserve">A critical aspect of modern teacher training in Frankfurt addresses unconscious bias in grading. Studies have shown that migrant backgrounds can sometimes negatively impact teacher expectations. Ongoing seminars focus on ensuring equitable evaluation practices, guaranteeing that every student has a fair chance to succeed regardless of their origin.</w:t>
      </w:r>
    </w:p>
    <w:bookmarkEnd w:id="32"/>
    <w:bookmarkEnd w:id="33"/>
    <w:bookmarkStart w:id="34" w:name="challenges-and-future-outlook"/>
    <w:p>
      <w:pPr>
        <w:pStyle w:val="Heading2"/>
      </w:pPr>
      <w:r>
        <w:t xml:space="preserve">Challenges and Future Outlook</w:t>
      </w:r>
    </w:p>
    <w:p>
      <w:pPr>
        <w:pStyle w:val="FirstParagraph"/>
      </w:pPr>
      <w:r>
        <w:t xml:space="preserve">The role of the</w:t>
      </w:r>
      <w:r>
        <w:t xml:space="preserve"> </w:t>
      </w:r>
      <w:r>
        <w:rPr>
          <w:bCs/>
          <w:b/>
        </w:rPr>
        <w:t xml:space="preserve">Teacher Secondary</w:t>
      </w:r>
      <w:r>
        <w:br/>
      </w:r>
      <w:r>
        <w:t xml:space="preserve">in Frankfurt is evolving rapidly. While it offers immense rewards, it also presents significant challenges.</w:t>
      </w:r>
    </w:p>
    <w:p>
      <w:pPr>
        <w:numPr>
          <w:ilvl w:val="0"/>
          <w:numId w:val="1004"/>
        </w:numPr>
        <w:pStyle w:val="Compact"/>
      </w:pPr>
      <w:r>
        <w:rPr>
          <w:bCs/>
          <w:b/>
        </w:rPr>
        <w:t xml:space="preserve">Burnout Prevention:</w:t>
      </w:r>
      <w:r>
        <w:t xml:space="preserve">The emotional labor of supporting diverse students in a high-pressure system can lead to burnout. Schools are increasingly providing psychological support and stress management workshops for staff.</w:t>
      </w:r>
    </w:p>
    <w:p>
      <w:pPr>
        <w:numPr>
          <w:ilvl w:val="0"/>
          <w:numId w:val="1004"/>
        </w:numPr>
        <w:pStyle w:val="Compact"/>
      </w:pPr>
      <w:r>
        <w:rPr>
          <w:iCs/>
          <w:i/>
        </w:rPr>
        <w:t xml:space="preserve">Social Emotional Learning (SEL):</w:t>
      </w:r>
      <w:r>
        <w:t xml:space="preserve">There is a push to integrate SEL into the curriculum. Teachers are expected to create safe, inclusive spaces where students feel emotionally secure enough to take academic risks.</w:t>
      </w:r>
    </w:p>
    <w:p>
      <w:pPr>
        <w:numPr>
          <w:ilvl w:val="0"/>
          <w:numId w:val="1004"/>
        </w:numPr>
        <w:pStyle w:val="Compact"/>
      </w:pPr>
      <w:r>
        <w:rPr>
          <w:bCs/>
          <w:b/>
        </w:rPr>
        <w:t xml:space="preserve">Digital Transformation:</w:t>
      </w:r>
      <w:r>
        <w:t xml:space="preserve">The post-pandemic era has accelerated digital integration. Frankfurt teachers must stay current with rapid technological changes while maintaining the human element of teaching.</w:t>
      </w:r>
    </w:p>
    <w:bookmarkEnd w:id="34"/>
    <w:bookmarkStart w:id="35" w:name="conclusion-a-call-to-action"/>
    <w:p>
      <w:pPr>
        <w:pStyle w:val="Heading2"/>
      </w:pPr>
      <w:r>
        <w:t xml:space="preserve">Conclusion: A Call to Action</w:t>
      </w:r>
    </w:p>
    <w:p>
      <w:pPr>
        <w:pStyle w:val="FirstParagraph"/>
      </w:pPr>
      <w:r>
        <w:t xml:space="preserve">To conclude this seminar presentation on being a</w:t>
      </w:r>
      <w:r>
        <w:t xml:space="preserve"> </w:t>
      </w:r>
      <w:r>
        <w:rPr>
          <w:bCs/>
          <w:b/>
        </w:rPr>
        <w:t xml:space="preserve">Teacher Secondary</w:t>
      </w:r>
      <w:r>
        <w:br/>
      </w:r>
      <w:r>
        <w:t xml:space="preserve">in Germany, we must recognize the profound impact of this profession.</w:t>
      </w:r>
    </w:p>
    <w:p>
      <w:pPr>
        <w:pStyle w:val="BodyText"/>
      </w:pPr>
      <w:r>
        <w:t xml:space="preserve">Frankfurt is a city of contrasts—ancient traditions meeting modern innovation. As educators, you are the bridge between these worlds. Your role is not merely to transmit knowledge but to empower students from all backgrounds to find their place in society and the workforce.</w:t>
      </w:r>
    </w:p>
    <w:p>
      <w:pPr>
        <w:pStyle w:val="BodyText"/>
      </w:pPr>
      <w:r>
        <w:rPr>
          <w:bCs/>
          <w:b/>
        </w:rPr>
        <w:t xml:space="preserve">Key Takeaways for Frankfurt Educators:</w:t>
      </w:r>
    </w:p>
    <w:p>
      <w:pPr>
        <w:numPr>
          <w:ilvl w:val="0"/>
          <w:numId w:val="1005"/>
        </w:numPr>
        <w:pStyle w:val="Compact"/>
      </w:pPr>
      <w:r>
        <w:t xml:space="preserve">Cultivate cultural humility and linguistic support strategies.</w:t>
      </w:r>
    </w:p>
    <w:p>
      <w:pPr>
        <w:numPr>
          <w:ilvl w:val="0"/>
          <w:numId w:val="1005"/>
        </w:numPr>
        <w:pStyle w:val="Compact"/>
      </w:pPr>
      <w:r>
        <w:t xml:space="preserve">Leverage the resources of Hesse's digital education initiatives.</w:t>
      </w:r>
    </w:p>
    <w:p>
      <w:pPr>
        <w:numPr>
          <w:ilvl w:val="0"/>
          <w:numId w:val="1005"/>
        </w:numPr>
        <w:pStyle w:val="Compact"/>
      </w:pPr>
      <w:r>
        <w:t xml:space="preserve">Foster strong partnerships with parents and the local community.</w:t>
      </w:r>
    </w:p>
    <w:p>
      <w:pPr>
        <w:numPr>
          <w:ilvl w:val="0"/>
          <w:numId w:val="1005"/>
        </w:numPr>
        <w:pStyle w:val="Compact"/>
      </w:pPr>
      <w:r>
        <w:t xml:space="preserve">Commit to lifelong professional development</w:t>
      </w:r>
      <w:r>
        <w:t xml:space="preserve">.</w:t>
      </w:r>
    </w:p>
    <w:p>
      <w:pPr>
        <w:pStyle w:val="FirstParagraph"/>
      </w:pPr>
      <w:r>
        <w:t xml:space="preserve">We encourage all participants in this seminar to engage actively with their school networks, seek out mentorship, and embrace the complexity of teaching in one of Germany's most vibrant cities. Thank you for your dedication to education.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Germany Frankfurt</dc:title>
  <dc:creator/>
  <dc:language>en</dc:language>
  <cp:keywords/>
  <dcterms:created xsi:type="dcterms:W3CDTF">2026-07-29T03:09:04Z</dcterms:created>
  <dcterms:modified xsi:type="dcterms:W3CDTF">2026-07-29T03:09:04Z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