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Teacher</w:t>
      </w:r>
      <w:r>
        <w:t xml:space="preserve"> </w:t>
      </w:r>
      <w:r>
        <w:t xml:space="preserve">Secondary</w:t>
      </w:r>
      <w:r>
        <w:t xml:space="preserve"> </w:t>
      </w:r>
      <w:r>
        <w:t xml:space="preserve">in</w:t>
      </w:r>
      <w:r>
        <w:t xml:space="preserve"> </w:t>
      </w:r>
      <w:r>
        <w:t xml:space="preserve">Indonesia</w:t>
      </w:r>
      <w:r>
        <w:t xml:space="preserve"> </w:t>
      </w:r>
      <w:r>
        <w:t xml:space="preserve">Jakarta</w:t>
      </w:r>
    </w:p>
    <w:bookmarkStart w:id="22" w:name="seminar-presentation-slides"/>
    <w:p>
      <w:pPr>
        <w:pStyle w:val="Heading1"/>
      </w:pPr>
      <w:r>
        <w:t xml:space="preserve">Seminar Presentation Slides</w:t>
      </w:r>
    </w:p>
    <w:bookmarkStart w:id="21" w:name="X0b18ab2f203f12ec906dd26d8b50c274eee0771"/>
    <w:p>
      <w:pPr>
        <w:pStyle w:val="Heading2"/>
      </w:pPr>
      <w:r>
        <w:t xml:space="preserve">Title: Modernizing Secondary Education in Indonesia Jakarta</w:t>
      </w:r>
    </w:p>
    <w:p>
      <w:pPr>
        <w:pStyle w:val="FirstParagraph"/>
      </w:pPr>
      <w:r>
        <w:rPr>
          <w:bCs/>
          <w:b/>
        </w:rPr>
        <w:t xml:space="preserve">Audience:</w:t>
      </w:r>
      <w:r>
        <w:t xml:space="preserve"> </w:t>
      </w:r>
      <w:r>
        <w:t xml:space="preserve">Ministry of Education Stakeholders, School Principals, and Policy Makers.</w:t>
      </w:r>
    </w:p>
    <w:p>
      <w:pPr>
        <w:pStyle w:val="BodyText"/>
      </w:pPr>
      <w:r>
        <w:rPr>
          <w:bCs/>
          <w:b/>
        </w:rPr>
        <w:t xml:space="preserve">Date:</w:t>
      </w:r>
    </w:p>
    <w:p>
      <w:pPr>
        <w:pStyle w:val="BodyText"/>
      </w:pPr>
      <w:r>
        <w:rPr>
          <w:iCs/>
          <w:i/>
        </w:rPr>
        <w:t xml:space="preserve">(Insert Date)</w:t>
      </w:r>
    </w:p>
    <w:bookmarkStart w:id="20" w:name="presentation-overview"/>
    <w:p>
      <w:pPr>
        <w:pStyle w:val="Heading3"/>
      </w:pPr>
      <w:r>
        <w:t xml:space="preserve">Presentation Overview</w:t>
      </w:r>
    </w:p>
    <w:p>
      <w:pPr>
        <w:pStyle w:val="FirstParagraph"/>
      </w:pPr>
      <w:r>
        <w:t xml:space="preserve">1. Introduction to the Secondary Teacher Landscape in Indonesia Jakarta.</w:t>
      </w:r>
      <w:r>
        <w:br/>
      </w:r>
      <w:r>
        <w:t xml:space="preserve">2. Current Challenges and Gaps in Pedagogy.</w:t>
      </w:r>
      <w:r>
        <w:br/>
      </w:r>
      <w:r>
        <w:t xml:space="preserve">3. The Role of Technology and Digital Literacy.</w:t>
      </w:r>
      <w:r>
        <w:br/>
      </w:r>
      <w:r>
        <w:t xml:space="preserve">4. Curriculum Alignment with Global Standards (Merdeka Belajar).</w:t>
      </w:r>
      <w:r>
        <w:br/>
      </w:r>
      <w:r>
        <w:t xml:space="preserve">5. Strategies for Professional Development and Retention.</w:t>
      </w:r>
    </w:p>
    <w:bookmarkEnd w:id="20"/>
    <w:bookmarkEnd w:id="21"/>
    <w:bookmarkEnd w:id="22"/>
    <w:bookmarkStart w:id="23" w:name="Xe8543a39b5a5dd2d05db8fc67ce18e4144aa083"/>
    <w:p>
      <w:pPr>
        <w:pStyle w:val="Heading2"/>
      </w:pPr>
      <w:r>
        <w:t xml:space="preserve">Slide 1: Contextualizing Teacher Secondary Education in Indonesia Jakarta</w:t>
      </w:r>
    </w:p>
    <w:p>
      <w:pPr>
        <w:pStyle w:val="FirstParagraph"/>
      </w:pPr>
      <w:r>
        <w:t xml:space="preserve">The capital city of Indonesia, Jakarta, serves as the economic and educational hub of the nation. However, being a metropolis presents unique pressures on the education sector. The role of a Teacher Secondary is pivotal; these educators are responsible for shaping students during their critical adolescent years (ages 12-18). In Indonesia Jakarta specifically, we see a dichotomy: while there are elite international institutions with abundant resources, public and semi-private secondary schools often struggle with high student-to-teacher ratios and infrastructure limitations.</w:t>
      </w:r>
    </w:p>
    <w:p>
      <w:pPr>
        <w:pStyle w:val="BodyText"/>
      </w:pPr>
      <w:r>
        <w:t xml:space="preserve">This presentation aims to address the specific needs of Teacher Secondary professionals within this dynamic urban environment. It is not merely about teaching content; it is about fostering critical thinking, cultural resilience, and digital competence in a rapidly globalizing society. The term "Indonesia Jakarta" must be viewed not just as a location, but as a complex socio-economic ecosystem that dictates the pedagogical approach required for effective secondary education.</w:t>
      </w:r>
    </w:p>
    <w:bookmarkEnd w:id="23"/>
    <w:bookmarkStart w:id="24" w:name="X7cb07a405995097c7fefbda41bbdf9775674881"/>
    <w:p>
      <w:pPr>
        <w:pStyle w:val="Heading2"/>
      </w:pPr>
      <w:r>
        <w:t xml:space="preserve">Slide 2: The Evolving Role of Teacher Secondary</w:t>
      </w:r>
    </w:p>
    <w:p>
      <w:pPr>
        <w:pStyle w:val="FirstParagraph"/>
      </w:pPr>
      <w:r>
        <w:t xml:space="preserve">Gone are the days when a Teacher Secondary was merely a dispenser of knowledge. In the context of Indonesia Jakarta, where information is instantly accessible via smartphones and computers, the teacher's role has shifted to that of a facilitator, mentor, and curriculum designer. Modern secondary education requires educators who can guide students through an ocean of information rather than just filling their buckets with facts.</w:t>
      </w:r>
    </w:p>
    <w:p>
      <w:pPr>
        <w:pStyle w:val="BodyText"/>
      </w:pPr>
      <w:r>
        <w:t xml:space="preserve">In Indonesia Jakarta’s competitive academic landscape, students face immense pressure from university entrance exams (SBMPTN) and societal expectations. Therefore, the Teacher Secondary must balance exam preparation with holistic character building. This involves integrating life skills, mental health awareness, and ethical reasoning into daily lessons. The modern Teacher Secondary is a bridge between traditional Indonesian values (such as gotong royong or mutual cooperation) and modern global competencies.</w:t>
      </w:r>
    </w:p>
    <w:bookmarkEnd w:id="24"/>
    <w:bookmarkStart w:id="25" w:name="X43ba12e7f1a066308e1af38507ee5ab0e1c77ac"/>
    <w:p>
      <w:pPr>
        <w:pStyle w:val="Heading2"/>
      </w:pPr>
      <w:r>
        <w:t xml:space="preserve">Slide 3: Key Challenges in Indonesia Jakarta</w:t>
      </w:r>
    </w:p>
    <w:p>
      <w:pPr>
        <w:pStyle w:val="FirstParagraph"/>
      </w:pPr>
      <w:r>
        <w:t xml:space="preserve">To improve the quality of secondary education, we must first acknowledge the systemic challenges facing Teacher Secondary professionals in Indonesia Jakarta:</w:t>
      </w:r>
    </w:p>
    <w:p>
      <w:pPr>
        <w:numPr>
          <w:ilvl w:val="0"/>
          <w:numId w:val="1001"/>
        </w:numPr>
        <w:pStyle w:val="Compact"/>
      </w:pPr>
      <w:r>
        <w:rPr>
          <w:bCs/>
          <w:b/>
        </w:rPr>
        <w:t xml:space="preserve">Digital Divide:</w:t>
      </w:r>
      <w:r>
        <w:t xml:space="preserve"> </w:t>
      </w:r>
      <w:r>
        <w:t xml:space="preserve">While internet penetration is high, equitable access to digital tools for learning varies significantly between districts (Kabupaten/Kota) within Jakarta.</w:t>
      </w:r>
    </w:p>
    <w:p>
      <w:pPr>
        <w:numPr>
          <w:ilvl w:val="0"/>
          <w:numId w:val="1001"/>
        </w:numPr>
        <w:pStyle w:val="Compact"/>
      </w:pPr>
      <w:r>
        <w:rPr>
          <w:bCs/>
          <w:b/>
        </w:rPr>
        <w:t xml:space="preserve">Teacher Certification and Quality:</w:t>
      </w:r>
      <w:r>
        <w:t xml:space="preserve"> </w:t>
      </w:r>
      <w:r>
        <w:t xml:space="preserve">Ensuring that all Teacher Secondary personnel meet the rigorous standards set by the Ministry of Education requires continuous upskilling. Many educators struggle to adapt new pedagogical methods due to lack of ongoing training.</w:t>
      </w:r>
    </w:p>
    <w:p>
      <w:pPr>
        <w:numPr>
          <w:ilvl w:val="0"/>
          <w:numId w:val="1001"/>
        </w:numPr>
        <w:pStyle w:val="Compact"/>
      </w:pPr>
      <w:r>
        <w:rPr>
          <w:bCs/>
          <w:b/>
        </w:rPr>
        <w:t xml:space="preserve">Socio-Economic Diversity:</w:t>
      </w:r>
      <w:r>
        <w:t xml:space="preserve"> </w:t>
      </w:r>
      <w:r>
        <w:t xml:space="preserve">Students in Indonesia Jakarta come from vastly different economic backgrounds. A one-size-fits-all approach fails in this diverse environment. Teachers must be trained in differentiated instruction to support both disadvantaged and affluent students equally.</w:t>
      </w:r>
    </w:p>
    <w:bookmarkEnd w:id="25"/>
    <w:bookmarkStart w:id="26" w:name="X5bfa3e8a4d9729880c347465afcc6efd364bc04"/>
    <w:p>
      <w:pPr>
        <w:pStyle w:val="Heading2"/>
      </w:pPr>
      <w:r>
        <w:t xml:space="preserve">Slide 4: Leveraging Technology for Teacher Secondary Excellence</w:t>
      </w:r>
    </w:p>
    <w:p>
      <w:pPr>
        <w:pStyle w:val="FirstParagraph"/>
      </w:pPr>
      <w:r>
        <w:t xml:space="preserve">The integration of technology is non-negotiable for modern Teacher Secondary roles in Indonesia Jakarta. The government’s push for "Merdeka Belajar" (Freedom to Learn) encourages the use of digital platforms like Merdeka Mengajar. However, effective implementation requires more than just hardware; it requires pedagogical innovation.</w:t>
      </w:r>
    </w:p>
    <w:p>
      <w:pPr>
        <w:pStyle w:val="BodyText"/>
      </w:pPr>
      <w:r>
        <w:rPr>
          <w:bCs/>
          <w:b/>
        </w:rPr>
        <w:t xml:space="preserve">Strategic Focus:</w:t>
      </w:r>
      <w:r>
        <w:br/>
      </w:r>
      <w:r>
        <w:t xml:space="preserve">1.</w:t>
      </w:r>
      <w:r>
        <w:t xml:space="preserve"> </w:t>
      </w:r>
      <w:r>
        <w:rPr>
          <w:iCs/>
          <w:i/>
        </w:rPr>
        <w:t xml:space="preserve">Digital Literacy Training:</w:t>
      </w:r>
      <w:r>
        <w:t xml:space="preserve"> </w:t>
      </w:r>
      <w:r>
        <w:t xml:space="preserve">Workshops must focus on using data analytics to assess student progress in real-time.</w:t>
      </w:r>
      <w:r>
        <w:br/>
      </w:r>
      <w:r>
        <w:t xml:space="preserve">2.</w:t>
      </w:r>
      <w:r>
        <w:t xml:space="preserve"> </w:t>
      </w:r>
      <w:r>
        <w:rPr>
          <w:iCs/>
          <w:i/>
        </w:rPr>
        <w:t xml:space="preserve">Mixed-Model Learning:</w:t>
      </w:r>
      <w:r>
        <w:t xml:space="preserve"> </w:t>
      </w:r>
      <w:r>
        <w:t xml:space="preserve">Combining face-to-face instruction with online modules allows Teacher Secondary professionals to personalize learning paths for students in Indonesia Jakarta’s crowded classrooms.</w:t>
      </w:r>
      <w:r>
        <w:br/>
      </w:r>
      <w:r>
        <w:t xml:space="preserve">3.</w:t>
      </w:r>
      <w:r>
        <w:t xml:space="preserve"> </w:t>
      </w:r>
      <w:r>
        <w:rPr>
          <w:iCs/>
          <w:i/>
        </w:rPr>
        <w:t xml:space="preserve">Cyber-Safety Education:</w:t>
      </w:r>
      <w:r>
        <w:t xml:space="preserve"> </w:t>
      </w:r>
      <w:r>
        <w:t xml:space="preserve">Teachers must be equipped to guide students through the risks of social media and cyberbullying, which are prevalent issues in urban centers like Jakarta.</w:t>
      </w:r>
    </w:p>
    <w:bookmarkEnd w:id="26"/>
    <w:bookmarkStart w:id="27" w:name="Xd99c6af770477beda23bf2d810ce3bc1c541f17"/>
    <w:p>
      <w:pPr>
        <w:pStyle w:val="Heading2"/>
      </w:pPr>
      <w:r>
        <w:t xml:space="preserve">Slide 5: Aligning with the Merdeka Belajar Curriculum</w:t>
      </w:r>
    </w:p>
    <w:p>
      <w:pPr>
        <w:pStyle w:val="FirstParagraph"/>
      </w:pPr>
      <w:r>
        <w:t xml:space="preserve">The new curriculum in Indonesia emphasizes flexibility and depth over breadth. For Teacher Secondary educators, this means moving away from rote memorization toward project-based learning (PBL). In Indonesia Jakarta, where industry connections are strong, PBL offers a unique opportunity for collaboration with local businesses and universities.</w:t>
      </w:r>
    </w:p>
    <w:p>
      <w:pPr>
        <w:pStyle w:val="BodyText"/>
      </w:pPr>
      <w:r>
        <w:t xml:space="preserve">For example, a Biology class in Jakarta could partner with local environmental agencies to study the health of the Ciliwung River. This approach makes learning relevant and engaging. The Teacher Secondary acts as the project manager, ensuring that academic standards are met while students solve real-world problems. This method not only improves academic outcomes but also fosters civic responsibility among youth in Indonesia Jakarta.</w:t>
      </w:r>
    </w:p>
    <w:bookmarkEnd w:id="27"/>
    <w:bookmarkStart w:id="28" w:name="X00f7e266c8e066ecf4ae41b697d2c1c665e8c86"/>
    <w:p>
      <w:pPr>
        <w:pStyle w:val="Heading2"/>
      </w:pPr>
      <w:r>
        <w:t xml:space="preserve">Slide 6: Professional Development and Retention Strategies</w:t>
      </w:r>
    </w:p>
    <w:p>
      <w:pPr>
        <w:pStyle w:val="FirstParagraph"/>
      </w:pPr>
      <w:r>
        <w:t xml:space="preserve">To attract and retain top talent as Teacher Secondary professionals, we must address compensation, working conditions, and career progression. In Indonesia Jakarta, the cost of living is high. Competitive salaries are essential, but they are not enough on their own.</w:t>
      </w:r>
    </w:p>
    <w:p>
      <w:pPr>
        <w:numPr>
          <w:ilvl w:val="0"/>
          <w:numId w:val="1002"/>
        </w:numPr>
        <w:pStyle w:val="Compact"/>
      </w:pPr>
      <w:r>
        <w:rPr>
          <w:bCs/>
          <w:b/>
        </w:rPr>
        <w:t xml:space="preserve">Career Pathways:</w:t>
      </w:r>
      <w:r>
        <w:t xml:space="preserve"> </w:t>
      </w:r>
      <w:r>
        <w:t xml:space="preserve">Create clear opportunities for promotion based on merit and innovation in teaching practices.</w:t>
      </w:r>
    </w:p>
    <w:p>
      <w:pPr>
        <w:numPr>
          <w:ilvl w:val="0"/>
          <w:numId w:val="1002"/>
        </w:numPr>
        <w:pStyle w:val="Compact"/>
      </w:pPr>
      <w:r>
        <w:rPr>
          <w:bCs/>
          <w:b/>
        </w:rPr>
        <w:t xml:space="preserve">Mental Health Support:</w:t>
      </w:r>
      <w:r>
        <w:t xml:space="preserve"> </w:t>
      </w:r>
      <w:r>
        <w:t xml:space="preserve">Provide resources for Teacher Secondary staff to manage burnout. High-stress environments lead to high turnover rates.</w:t>
      </w:r>
    </w:p>
    <w:p>
      <w:pPr>
        <w:numPr>
          <w:ilvl w:val="0"/>
          <w:numId w:val="1002"/>
        </w:numPr>
        <w:pStyle w:val="Compact"/>
      </w:pPr>
      <w:r>
        <w:rPr>
          <w:bCs/>
          <w:b/>
        </w:rPr>
        <w:t xml:space="preserve">Publishing Communities of Practice (CoP):</w:t>
      </w:r>
      <w:r>
        <w:t xml:space="preserve"> </w:t>
      </w:r>
      <w:r>
        <w:t xml:space="preserve">Encourage networks where teachers can share best practices specific to the challenges of urban education in Indonesia Jakarta. These communities foster a sense of belonging and professional pride.</w:t>
      </w:r>
    </w:p>
    <w:bookmarkEnd w:id="28"/>
    <w:bookmarkStart w:id="29" w:name="X7afdac36bfa0b5b1e62f5ae4a4966db40967e34"/>
    <w:p>
      <w:pPr>
        <w:pStyle w:val="Heading2"/>
      </w:pPr>
      <w:r>
        <w:t xml:space="preserve">Slide 7: The Importance of Cultural Competence</w:t>
      </w:r>
    </w:p>
    <w:p>
      <w:pPr>
        <w:pStyle w:val="FirstParagraph"/>
      </w:pPr>
      <w:r>
        <w:t xml:space="preserve">Jakarta is a melting pot of cultures, languages, and beliefs within Indonesia. A Teacher Secondary must possess high cultural competence to navigate this diversity respectfully. Education in Indonesia Jakarta should celebrate this diversity while reinforcing national unity (Bhinneka Tunggal Ika).</w:t>
      </w:r>
    </w:p>
    <w:p>
      <w:pPr>
        <w:pStyle w:val="BodyText"/>
      </w:pPr>
      <w:r>
        <w:t xml:space="preserve">Teachers play a crucial role in preventing radicalization and fostering tolerance. Through history, social studies, and even science classes, educators can highlight the contributions of diverse groups within Indonesian society. This is particularly important for secondary students who are forming their identities. The Teacher Secondary must model inclusive behavior and create safe spaces for dialogue about sensitive topics.</w:t>
      </w:r>
    </w:p>
    <w:bookmarkEnd w:id="29"/>
    <w:bookmarkStart w:id="30" w:name="slide-8-conclusion-and-call-to-action"/>
    <w:p>
      <w:pPr>
        <w:pStyle w:val="Heading2"/>
      </w:pPr>
      <w:r>
        <w:t xml:space="preserve">Slide 8: Conclusion and Call to Action</w:t>
      </w:r>
    </w:p>
    <w:p>
      <w:pPr>
        <w:pStyle w:val="FirstParagraph"/>
      </w:pPr>
      <w:r>
        <w:t xml:space="preserve">In conclusion, the future of education in Indonesia Jakarta rests heavily on the shoulders of its Teacher Secondary professionals. To achieve excellence, we must invest in their training, modernize their tools, and support their well-being. The goal is to create a system where every student, regardless of their background in Jakarta’s sprawling urban landscape, has access to high-quality secondary education.</w:t>
      </w:r>
    </w:p>
    <w:p>
      <w:pPr>
        <w:pStyle w:val="BodyText"/>
      </w:pPr>
      <w:r>
        <w:rPr>
          <w:bCs/>
          <w:b/>
        </w:rPr>
        <w:t xml:space="preserve">Call to Action:</w:t>
      </w:r>
    </w:p>
    <w:p>
      <w:pPr>
        <w:numPr>
          <w:ilvl w:val="0"/>
          <w:numId w:val="1003"/>
        </w:numPr>
        <w:pStyle w:val="Compact"/>
      </w:pPr>
      <w:r>
        <w:t xml:space="preserve">Policymakers: Increase funding for teacher training programs focused on digital pedagogy.</w:t>
      </w:r>
    </w:p>
    <w:p>
      <w:pPr>
        <w:numPr>
          <w:ilvl w:val="0"/>
          <w:numId w:val="1003"/>
        </w:numPr>
        <w:pStyle w:val="Compact"/>
      </w:pPr>
      <w:r>
        <w:t xml:space="preserve">School Leaders: Implement mentorship programs pairing experienced teachers with new graduates in Indonesia Jakarta.</w:t>
      </w:r>
    </w:p>
    <w:p>
      <w:pPr>
        <w:numPr>
          <w:ilvl w:val="0"/>
          <w:numId w:val="1003"/>
        </w:numPr>
        <w:pStyle w:val="Compact"/>
      </w:pPr>
      <w:r>
        <w:t xml:space="preserve">The Community: Support Teacher Secondary initiatives that engage parents and local stakeholders in the educational process.</w:t>
      </w:r>
    </w:p>
    <w:p>
      <w:pPr>
        <w:pStyle w:val="FirstParagraph"/>
      </w:pPr>
      <w:r>
        <w:t xml:space="preserve">By empowering the Teacher Secondary, we empower the next generation of Indonesian leaders. Let us commit to building a robust, inclusive, and modern educational framework for Indonesia Jakarta today and tomorrow.</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Teacher Secondary in Indonesia Jakarta</dc:title>
  <dc:creator/>
  <dc:language>en</dc:language>
  <cp:keywords/>
  <dcterms:created xsi:type="dcterms:W3CDTF">2026-07-29T16:19:31Z</dcterms:created>
  <dcterms:modified xsi:type="dcterms:W3CDTF">2026-07-29T16:19:31Z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