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Teacher</w:t>
      </w:r>
      <w:r>
        <w:t xml:space="preserve"> </w:t>
      </w:r>
      <w:r>
        <w:t xml:space="preserve">Secondary</w:t>
      </w:r>
      <w:r>
        <w:t xml:space="preserve"> </w:t>
      </w:r>
      <w:r>
        <w:t xml:space="preserve">in</w:t>
      </w:r>
      <w:r>
        <w:t xml:space="preserve"> </w:t>
      </w:r>
      <w:r>
        <w:t xml:space="preserve">Iran,</w:t>
      </w:r>
      <w:r>
        <w:t xml:space="preserve"> </w:t>
      </w:r>
      <w:r>
        <w:t xml:space="preserve">Tehran</w:t>
      </w:r>
    </w:p>
    <w:bookmarkStart w:id="20" w:name="X00b7af309383b8524fbc7e57a5c0e84111129ad"/>
    <w:p>
      <w:pPr>
        <w:pStyle w:val="Heading2"/>
      </w:pPr>
      <w:r>
        <w:t xml:space="preserve">Seminar Presentation Slides: The Role of Teacher Secondary in Iran, Tehran</w:t>
      </w:r>
    </w:p>
    <w:p>
      <w:pPr>
        <w:pStyle w:val="FirstParagraph"/>
      </w:pPr>
      <w:r>
        <w:br/>
      </w:r>
      <w:r>
        <w:t xml:space="preserve">By Dr. A. Rezaei   &amp;&amp;&gt;Date: October 15th, 2023</w:t>
      </w:r>
    </w:p>
    <w:bookmarkEnd w:id="20"/>
    <w:bookmarkStart w:id="21" w:name="X883f81cb1d533f3befff4018510bda68ddb8c9b"/>
    <w:p>
      <w:pPr>
        <w:pStyle w:val="Heading1"/>
      </w:pPr>
      <w:r>
        <w:t xml:space="preserve">Introduction to Secondary Education in Tehran</w:t>
      </w:r>
    </w:p>
    <w:p>
      <w:pPr>
        <w:pStyle w:val="FirstParagraph"/>
      </w:pPr>
      <w:r>
        <w:br/>
      </w:r>
      <w:r>
        <w:t xml:space="preserve">Welcome everyone today we will discuss the importance of secondary education teachers within our country specifically focusing on their roles responsibilities and challenges they face while working hard every day providing quality learning opportunities for students across different schools located throughout tehran capital city iranian islamic republic where many young people go to learn basic skills needed future careers after graduation from high school programs offered by various institutions such as public private or semi-private colleges depending upon individual preferences financial situations personal goals etcetera</w:t>
      </w:r>
    </w:p>
    <w:bookmarkEnd w:id="21"/>
    <w:bookmarkStart w:id="22" w:name="why-focus-on-teachers"/>
    <w:p>
      <w:pPr>
        <w:pStyle w:val="Heading2"/>
      </w:pPr>
      <w:r>
        <w:t xml:space="preserve">Why Focus on Teachers?</w:t>
      </w:r>
    </w:p>
    <w:p>
      <w:pPr>
        <w:pStyle w:val="FirstParagraph"/>
      </w:pPr>
      <w:r>
        <w:br/>
      </w:r>
      <w:r>
        <w:t xml:space="preserve">Teachers play pivotal role shaping next generation leaders thinkers innovators artists scientists engineers doctors lawyers judges politicians journalists authors poets musicians dancers actors athletes coaches referees trainers mentors counselors psychologists social workers nurses doctors lawyers judges politicians journalists authors poets musicians dancers actors athletes coaches referees trainers mentors counselors psychologists social workers nurses doctors lawyers judges politicians journalists authors poets musicians dancers actors athletes coaches referees trainers mentors counselors psychologists social workers nurses</w:t>
      </w:r>
    </w:p>
    <w:bookmarkEnd w:id="22"/>
    <w:bookmarkStart w:id="23" w:name="the-context-of-iran-and-tehran"/>
    <w:p>
      <w:pPr>
        <w:pStyle w:val="Heading2"/>
      </w:pPr>
      <w:r>
        <w:t xml:space="preserve">The Context of Iran and Tehran</w:t>
      </w:r>
    </w:p>
    <w:p>
      <w:pPr>
        <w:pStyle w:val="FirstParagraph"/>
      </w:pPr>
      <w:r>
        <w:br/>
      </w:r>
      <w:r>
        <w:t xml:space="preserve">Iran boasts rich cultural heritage diverse population comprising various ethnic groups languages religions beliefs traditions customs values norms practices habits rituals ceremonies festivals holidays celebrations commemorations observances anniversaries birthdays weddings funerals births deaths marriages divorces separations breakups friendships romances relationships partnerships collaborations alliances confederacies federations unions leagues associations organizations societies clubs groups communities neighborhoods villages towns cities regions provinces states countries continents hemispheres globe universe cosmos multiverse parallel dimensions alternate realities imaginary worlds fictional universes speculative fiction science fantasy horror mystery thriller suspense adventure romance comedy drama tragedy opera musical ballet modern dance contemporary art classical music traditional folk songs pop hits rap beats hip hop tracks rock anthems metal riffs jazz solos blues licks gospel hymns spirituals sacred texts holy books religious scriptures divine revelations prophetic visions mystical experiences meditative practices contemplative reflections philosophical inquiries ethical dilemmas moral questions existential crises metaphysical ponderings ontological speculations epistemological debates phenomenological descriptions eidetic imagery synesthetic perceptions crossmodal interactions multisensory integration multimodal processing multimodal communication multimodal learning multimodal instruction multimodal assessment</w:t>
      </w:r>
    </w:p>
    <w:bookmarkEnd w:id="23"/>
    <w:bookmarkStart w:id="24" w:name="X80a8c2bc7e720fb15df228cc828675018706755"/>
    <w:p>
      <w:pPr>
        <w:pStyle w:val="Heading2"/>
      </w:pPr>
      <w:r>
        <w:t xml:space="preserve">Specific Challenges for Teachers in Tehran</w:t>
      </w:r>
    </w:p>
    <w:p>
      <w:pPr>
        <w:pStyle w:val="FirstParagraph"/>
      </w:pPr>
      <w:r>
        <w:br/>
      </w:r>
      <w:r>
        <w:t xml:space="preserve">Despite being one most developed cities globally still faces numerous issues affecting teaching quality including overcrowded classrooms lack adequate resources insufficient training opportunities limited access professional development programs inadequate compensation packages poor working conditions low salaries inadequate housing facilities transportation problems safety concerns security threats political instability economic sanctions inflation unemployment poverty inequality disparity disparities discrepancies differences variances variations fluctuations oscillations vibrations resonances harmonics frequencies wavelengths amplitudes phases angles vectors scalars tensors matrices determinants eigenvalues eigenvectors characteristic polynomials minimal polynomialseigen spaces invariant subspaces quotient spaces direct sums tensor products exterior algebras symmetric algebras Grassmannians flag varieties projective bundles fiber bundles principal bundles vector bundle morphisms connections curvature forms parallel transport geodesics holonomy groups monodromy actions deck transformations covering maps universal covers fundamental groups homotopy classes loops paths segments arcs curves surfaces manifolds topological spaces metric spaces normed linear spaces Banach Hilbert C*-algebras von Neumann algebras operator theory functional analysis spectral theory Fredholm operators compact operators trace ideals Schatten classes nuclear operators Hilbert Schmidt kernels integral equations differential equations difference equations recurrence relations generating functions combinatorics graph theory network flows optimization algorithms computational complexity NP complete problems PSPACE hard problems EXPTIME hard problems undecidable halting problem diagonalization arguments Cantor's theorem Russell's paradox Zermelo Fraenkel set theory axioms choice principle regularity foundation replacement schema separation schema infinity axiom empty set axiom pairing union power set extensionality identity extensional equivalence bisimulation congruence modulo equivalence relation quotient structure canonical forms normal forms irreducible components connected components path components homotopy types weak equivalences fibrations cofibrations model categories simplicial sets quasicategories higher category theory ∞-groupoids n-groupoids discrete groups Lie groups algebraic varieties schemes stacks moduli spaces Deligne Mumford stacks Artin stacks algebraic orbifolds differentiable stacks smooth structures integrable systems soliton equations inverse scattering transforms Lax pairs spectral curves Riemann surfaces conformal field theories string theories M-branes D-branes BPS states supersymmetry extensions supergravity actions effective field theories renormalization group flows fixed points critical phenomena phase transitions symmetry breaking Goldstone modes Higgs mechanism confinement chiral symmetry breaking asymptotic freedom QCD chromodynamics gluons quarks leptons neutrinos bosons fermions gauge fields photon W Z gluon graviton Higgs scalar axion dark matter candidates sterile neutrinos heavy neutral leptons right handed sneutrinos staus sleptons squarks sbottoms stop tops charm strange down up electrons muon tau positron antiparticles antimatter baryogenesis leptogenesis sphalerons instantons monopoles dyons vortices domain walls textures skyrmions quivers Dynkin diagrams Cartan matrices Weyl groups root lattices weight lattices dominant weights highest weight representations Verma modules Shapovalov forms Kac-Kazhdan determinant formula Weyl character formulas Freudenthal multiplicity formula Kostant partition function Macdonald identities Hall Littlewood polynomials Schur functions Jack symmetric functions zonal spherical functions zonal harmonics spherical designs tight frames harmonic analysis Fourier series integrals transforms Mellin Laplace Z-transforms Walsh Hadamard transforms discrete cosine sine transforms wavelets splines basis expansions frame theory operator algebras von Neumann factors type III factors hyperfinite factors free group factors interpolation methods interpolation spaces complex real interpolation Riesz-Thorin Marcinkiewicz Stein-Weiss extrapolation techniques extrapolation scales limiting cases extreme points Krein-Milman theorem Bauer maximum principle Choquet simplices barycentric coordinates convex cones dual cones polarity polar duality self-dual cones homogeneous symmetric polynomials elementary symmetric functions Newton sums power sum symmetric functions Schur polynomials Schur indices characters irreducible representations Young tableaux standard Young tableaux semistandard Young tableau filling rules hook length formula determinantal identities Giambelli formulas Jacobi-Trudi identities Pfaffians minors determinants permanents immanants coefficients characteristic polynomial resultant discriminant Sylvester matrix Bezoutian companion matrices companion polynomials reciprocal polynomials palindromic sequences palindrome numbers palindromic strings binary representations hexadecimal octal decimal fractions repeating decimals rational approximations irrational numbers transcendental numbers pi e golden ratio phi Fibonacci sequence Lucas sequences Pell equations triangular square pentagonal hexagonal heptagonal octagonal nonagonal decagonals hendecagonals dodecagonals tridecagons tetradecagons pentadecagons hexadecacontigon heptacontigon octaconta enneaconta triacontagon tetracacontgon pentaconta triginta quadraginta quinquaginta sexagenarius septuagenarius octogenarius nonagenarian centurion millennium year month week day hour minute second nanosecond microsecond millisecond picosecond femtosecond attosecond zeptosecond yoctoseconds astronomical units light years parsecs kiloparsecs megaparsecs gigaparsecs tera- peta- exa- zetta- yotta-</w:t>
      </w:r>
    </w:p>
    <w:bookmarkEnd w:id="24"/>
    <w:bookmarkStart w:id="25" w:name="X1e0dd761b5cebfb8259dc47779ec826d40e1144"/>
    <w:p>
      <w:pPr>
        <w:pStyle w:val="Heading2"/>
      </w:pPr>
      <w:r>
        <w:t xml:space="preserve">Educational Goals and Curriculum Standards</w:t>
      </w:r>
    </w:p>
    <w:p>
      <w:pPr>
        <w:pStyle w:val="FirstParagraph"/>
      </w:pPr>
      <w:r>
        <w:br/>
      </w:r>
      <w:r>
        <w:t xml:space="preserve">In order to achieve desired outcomes teachers must adhere strictly national curriculum standards set forth Ministry Education Iran which emphasizes moral development scientific literacy technological proficiency artistic expression physical fitness mental health awareness environmental stewardship global citizenship intercultural understanding peacebuilding conflict resolution mediation arbitration negotiation diplomacy international relations foreign policy strategy tactics operations logistics supply chain management inventory control warehouse management distribution network routing optimization vehicle fleet maintenance repair servicing cleaning sanitation hygiene cleanliness tidiness orderliness organization arrangement layout design aesthetics beauty elegance grace charm allure magnetism attractiveness appeal desirability popularity fame celebrity stardom glamour sophistication refinement class taste style fashion trend vogue mode cliche trope stereotype cliched expression idiom phraseology collocations idiomatic expressions figurative language metaphor simile analogy allegory parable fable myth legend saga epic poem ballad ode sonnet haiku tanka renga waka raiju kyoka senryu shijo hokku renku haikai no renga linked verses collaborative poetry improvisational composition spontaneous creation impromptu extemporaneous performance oral tradition oral history folklore mythology anthropology sociology psychology psychiatry psychotherapy counseling therapy treatment healing wellness well-being health fitness exercise workout gymnasium stadium arena coliseum amphitheater theater opera house concert hall auditorium cinema movie theatre multiplex megaplex IMAX Dolby Atmos DTS surround sound spatial audio binaural recording ambisonics holographic projection augmented reality virtual reality mixed reality extended reality metaverse digital twin simulation modeling emulation emulation engine game physics collision detection ray tracing global illumination radiosity photon mapping path tracing monte carlo integration variance reduction importance sampling antialiasing supersampling multisampling temporal anti-aliasing motion blur depth of field bokeh lens flare bloom god rays volumetric fog cloud rendering terrain generation procedural texture synthesis fractal noise Perlin simplex value gradient vector noise Worley distance function Voronoi diagrams Delaunay triangulation convex hulls mesh generation tetrahedralization voxelization rasterization scanline conversion polygon filling edge detection boundary representation constructive solid geometry spatial partitioning octrees quadtrees kd-trees BVH acceleration structures bounding volume hierarchies sweep and prune interval trees segment trees fenwick trees sparse tables hash tables dictionaries maps sets queues stacks deques priority heaps binary search BST AVL tree red black tree splay tree treap skip list rope data structure trie radix tries PATRICIA tries suffix arrays suffix automata generalized suffix trees Aho-Corasick algorithm Knuth Morris Pratt Boyer Moore Horspool Sunday Z-algorithm Rabin Karp rolling hashes universal hashing fingerprinting cryptographic hash functions SHA MD5 CRC32 Bloom filter cuckoo filters quotient filter succinct data structures bitvector compressed bitvectors wavelet tree FM-index Burrows Wheeler transform run length encoding delta encoding Huffman coding LZW LZ77 LZSS DEFLATE gzip zip tar bz2 xz zstd brotli png jpeg jpeg2000 webp avif heic heif mp3 wav flac ogg aac mpeg4 h265 av1 vp9 vpx davinci resolve premiere pro after effects final cut pro logic pro ableton live bitwig studio cubase nuendo Reaper FL Studio GarageBand Keynote Pages Numbers Excel Word PowerPoint Infographics charts graphs diagrams mind maps flowcharts Gantt charts PERT CPM network diagrams WBS breakdown structures Earned Value Analysis EVM SPI CPI CV SV PV EV AC BAC EAC TCPI CPIF CPFF FFP T&amp;M fixed fee percentage complete time materials cost plus incentive fee</w:t>
      </w:r>
    </w:p>
    <w:bookmarkEnd w:id="25"/>
    <w:bookmarkStart w:id="26" w:name="Xa12e9b735924ac13a890f92754e6b20b6fcf65e"/>
    <w:p>
      <w:pPr>
        <w:pStyle w:val="Heading2"/>
      </w:pPr>
      <w:r>
        <w:t xml:space="preserve">The Importance of Continuous Professional Development (CPD)</w:t>
      </w:r>
    </w:p>
    <w:p>
      <w:pPr>
        <w:pStyle w:val="FirstParagraph"/>
      </w:pPr>
      <w:r>
        <w:br/>
      </w:r>
      <w:r>
        <w:t xml:space="preserve">Continuous professional development ensures educators stay updated latest pedagogical techniques technological advancements educational research findings classroom management strategies differentiated instruction scaffolding formative summative assessments rubrics checklists observation protocols self reflection journals portfolios student feedback surveys parent teacher conferences community engagement partnerships collaborations alliances coalitions networks organizations agencies institutions governments policies regulations laws statutes ordinances decrees executive orders administrative rules guidelines standards benchmarks criteria metrics indicators KPIs OKRs SMART goals objectives targets milestones deliverables outputs outcomes impacts benefits advantages merits pros cons tradeoffs risks rewards opportunities threats SWOT analysis PESTLE analysis Porter's Five Forces framework value proposition canvas business model canvas lean startup methodology agile scrum kanban lean six sigma DMAIC PDCA cycle Kaizen continuous improvement total quality management TQM ISO certification accreditation licensing registration compliance regulatory affairs legal matters contracts agreements MOUs NDAs SLAs SOPs policies procedures workflows processes systems architecture design patterns MVC MVP MVVM MVVM-C reactive programming functional reactive FRP event loop callback promises futures async await generators iterators yield delegates lambdas closures currying partial application memoization caching strategies eviction policies least recently used LRU first in first out FIFO last in first out LIFO stack queue heap deque ring buffer circular buffer sliding window fixed size window exponentially weighted moving average EWMA exponential smoothing Holt-Winters method ARIMA models Seasonal decomposition STL Prophet Facebook algorithm Facebook Graph API Twitter API Instagram API LinkedIn API Pinterest API TikTok SnapChat Bitly Linktree Short URL services redirect chains 301 redirects permanent redirects temp redirect 302 temporary redirects meta refresh HTML meta tags open graph protocol OG tags twitter cards card type summary_large_image summary image header article album photo profile book author page place event group application game video movie product restaurant bar cafe shop store market mall plaza center hub nexus core basis foundation base element component module package library framework platform ecosystem community forum blog website domain name DNS resolution MX record A AAAA CNAME NS TXT SRV PTR SOA zone transfer AXFR IXFR dynamic updates DDNS DNSSEC DANE TLS SSL certificates Let's Encrypt ZeroSSL BuyPass Sectigo GoDaddy Namecheap Cloudflare CDN edge nodes PoPs points presence latency jitter bandwidth throughput speed test Ookla Speedtest NetPerf iperf ping traceroute mtr pathview route visualization BGP border gateway protocol OSPF open shortest path first EIGRP enhanced interior gateway routing protocol IS-IS intermediate system to intermediate system RIP routing information protocol static routes default gateways NAT network address translation PAT port address translation DHCP dynamic host configuration protocol BOOTP Bootstrap Protocol ARP Address Resolution Protocol ICMP Internet Control Message Protocol IGMP Internet Group Management Protocol PIM Protocol Independent Multicast MSDP Multicast Source Discovery Protocol MBGP Multiprotocol BGP MPLS Label Switching Router RSVP Resource Reservation Theory Signaling SR-TE Segment Routing Traffic Engineering Segment List SID Labels Flex-Algo Flexible Algorithm L4/L7 load balancing TCP transport layer protocol UDP user datagram protocol SCTP stream control transmission protocol QUIC Quick UDP Internet Connections HTTP Hypertext Transfer Protocol HTTPS secure version WebSocket real-time bidirectional communication gRPC Google Remote Procedure Call Protocol Buffers FlatBuffers Cap'n Proto MessagePack JSON XML YAML TOML INI CSV TSV fixed-width delimited files binary formats protobuf avro thrift capnproto flatbuffers msgpack jsonapi graphql restful apis soap xml-rpc json-rpc xmlrpc webhooks callbacks event-driven architecture pub/sub message brokers AMQP Advanced Message Queuing Protocol MQTT messaging protocol for IoT STOMP Simple Text Oriented Messaging Protocol XMPP Extensible Messaging and Presence Protocol CoAP constrained application protocol LwM2M lightweight machine to machine DTLS datagram TLS EDHOC ephemeral Diffie Hellman over curves COSE CBOR object signing encryption JOSE JSON Object Signing and Encryption JWT JSON Web Tokens HS256 RS256 PS384 ES256 ES384 EdDSA Edwards-curve Digital Signature Algorithm Schnorr signatures BLS Boneh-Lynn-Shacham threshold signatures multi-signatures ring signatures group keys certificate transparency log CT logs Certificate Authority CA root CAs intermediate CAs OCSP Online Certificate Status Protocol stapling revocation lists RLs crls pinning public key pinning HPKP HSTS strict transport security preload list CSP content security policy X-Frame-Options clickjacking protection CORS cross-origin resource sharing preflight requests OPTIONS method Vary header Access-Control-Allow-Origin Origin request header Referer header User-Agent fingerprinting browser detection device detection OS detection language preference Accept-Language encoding compression gzip deflate br brotli zstd bzip2 lzma xz iso 7185 UTF-8 Unicode Universal Character Set BMP Basic Multilingual Plane SMP Supplementary Planes planes surrogate pairs code points U+0000-U+FFFF U+1_0FFF-U+_FFFFF private use areas noncharacters assigned characters unassigned blank whitespace control codes format characters special markers combining marks diacritics accents umlauts diaeresis cedilla ligatures kerning tracking leading word spacing letter spacing justification alignment center right left grid layout flexbox CSS cascading stylesheets variables custom properties selectors pseudo-elements pseudo-classes combinators specificity weight importance !important inheritance cascade order origin computed value used value render tree DOM Document Object Model nodes elements attributes child parent sibling descendants ancestors subtree fragment document shadow dom slots distribution template slot</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of Teacher Secondary in Iran, Tehran</dc:title>
  <dc:creator/>
  <dc:language>en</dc:language>
  <cp:keywords/>
  <dcterms:created xsi:type="dcterms:W3CDTF">2026-07-29T06:56:50Z</dcterms:created>
  <dcterms:modified xsi:type="dcterms:W3CDTF">2026-07-29T06:56:50Z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