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Israel</w:t>
      </w:r>
      <w:r>
        <w:t xml:space="preserve"> </w:t>
      </w:r>
      <w:r>
        <w:t xml:space="preserve">Jerusalem</w:t>
      </w:r>
    </w:p>
    <w:bookmarkStart w:id="30" w:name="X35e5f8424814c27f336233c398e28e92b9890f8"/>
    <w:p>
      <w:pPr>
        <w:pStyle w:val="Heading1"/>
      </w:pPr>
      <w:r>
        <w:t xml:space="preserve">Seminar Presentation Slides</w:t>
      </w:r>
      <w:r>
        <w:br/>
      </w:r>
      <w:r>
        <w:t xml:space="preserve">Educating for the Future:</w:t>
      </w:r>
      <w:r>
        <w:br/>
      </w:r>
      <w:r>
        <w:t xml:space="preserve">The Role of the Teacher Secondary in Israel Jerusalem</w:t>
      </w:r>
    </w:p>
    <w:p>
      <w:pPr>
        <w:pStyle w:val="FirstParagraph"/>
      </w:pPr>
      <w:r>
        <w:br/>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dedicated to understanding the unique, complex, and profoundly impactful role of a</w:t>
      </w:r>
      <w:r>
        <w:t xml:space="preserve"> </w:t>
      </w:r>
      <w:r>
        <w:rPr>
          <w:bCs/>
          <w:b/>
        </w:rPr>
        <w:t xml:space="preserve">Teacher Secondary</w:t>
      </w:r>
      <w:r>
        <w:t xml:space="preserve">. Our focus is specifically situated within the vibrant, historic, yet politically nuanced environment of</w:t>
      </w:r>
      <w:r>
        <w:t xml:space="preserve"> </w:t>
      </w:r>
      <w:r>
        <w:rPr>
          <w:bCs/>
          <w:b/>
        </w:rPr>
        <w:t xml:space="preserve">Israel Jerusalem</w:t>
      </w:r>
      <w:r>
        <w:t xml:space="preserve">. This city serves not merely as a backdrop but as an active participant in the educational process. As educators navigating this landscape, we must recognize that teaching in secondary education here involves more than imparting academic knowledge; it requires fostering social cohesion, critical thinking amidst diversity, and cultural sensitivity. The</w:t>
      </w:r>
      <w:r>
        <w:t xml:space="preserve"> </w:t>
      </w:r>
      <w:r>
        <w:rPr>
          <w:bCs/>
          <w:b/>
        </w:rPr>
        <w:t xml:space="preserve">Seminar Presentation Slides</w:t>
      </w:r>
      <w:r>
        <w:t xml:space="preserve"> </w:t>
      </w:r>
      <w:r>
        <w:t xml:space="preserve">below outline the pedagogical strategies required to thrive in this demanding yet rewarding sector.</w:t>
      </w:r>
    </w:p>
    <w:bookmarkEnd w:id="20"/>
    <w:p>
      <w:pPr>
        <w:pStyle w:val="BodyText"/>
      </w:pPr>
      <w:r>
        <w:br/>
      </w:r>
    </w:p>
    <w:bookmarkStart w:id="21" w:name="X426b769149d05e81d70dd2f476502a2925cea73"/>
    <w:p>
      <w:pPr>
        <w:pStyle w:val="Heading2"/>
      </w:pPr>
      <w:r>
        <w:t xml:space="preserve">Slide 2: The Unique Ecosystem of Jerusalem Education</w:t>
      </w:r>
    </w:p>
    <w:p>
      <w:pPr>
        <w:pStyle w:val="FirstParagraph"/>
      </w:pPr>
      <w:r>
        <w:t xml:space="preserve">To effectively function as a</w:t>
      </w:r>
      <w:r>
        <w:t xml:space="preserve"> </w:t>
      </w:r>
      <w:r>
        <w:rPr>
          <w:bCs/>
          <w:b/>
        </w:rPr>
        <w:t xml:space="preserve">Teacher Secondary</w:t>
      </w:r>
      <w:r>
        <w:t xml:space="preserve">, one must first understand the microcosm of</w:t>
      </w:r>
      <w:r>
        <w:t xml:space="preserve"> </w:t>
      </w:r>
      <w:r>
        <w:rPr>
          <w:bCs/>
          <w:b/>
        </w:rPr>
        <w:t xml:space="preserve">Israel Jerusalem</w:t>
      </w:r>
      <w:r>
        <w:t xml:space="preserve">. This city is home to a diverse tapestry of populations, including secular Jews, religious Zionists, ultra-Orthodox communities (Haredim), Arab Muslims and Christians, and immigrant groups. Each group possesses distinct cultural values and educational priorities. In this context, the classroom becomes a micro-society where different worldviews intersect. The</w:t>
      </w:r>
      <w:r>
        <w:t xml:space="preserve"> </w:t>
      </w:r>
      <w:r>
        <w:rPr>
          <w:bCs/>
          <w:b/>
        </w:rPr>
        <w:t xml:space="preserve">Teacher Secondary</w:t>
      </w:r>
      <w:r>
        <w:t xml:space="preserve"> </w:t>
      </w:r>
      <w:r>
        <w:t xml:space="preserve">must act as a bridge builder, ensuring that while curriculum standards are met across various school systems (State Religious, State Secular, etc.), respect for differing identities is maintained. Understanding these demographic shifts and historical sensitivities is paramount for successful classroom management and student engagement.</w:t>
      </w:r>
    </w:p>
    <w:bookmarkEnd w:id="21"/>
    <w:p>
      <w:pPr>
        <w:pStyle w:val="BodyText"/>
      </w:pPr>
      <w:r>
        <w:br/>
      </w:r>
    </w:p>
    <w:bookmarkStart w:id="22" w:name="X61e081a27846e29fd55619c6a6ebeae5749d526"/>
    <w:p>
      <w:pPr>
        <w:pStyle w:val="Heading2"/>
      </w:pPr>
      <w:r>
        <w:t xml:space="preserve">Slide 3: Pedagogical Strategies for Diverse Classrooms</w:t>
      </w:r>
    </w:p>
    <w:p>
      <w:pPr>
        <w:pStyle w:val="FirstParagraph"/>
      </w:pPr>
      <w:r>
        <w:t xml:space="preserve">In</w:t>
      </w:r>
      <w:r>
        <w:t xml:space="preserve"> </w:t>
      </w:r>
      <w:r>
        <w:rPr>
          <w:bCs/>
          <w:b/>
        </w:rPr>
        <w:t xml:space="preserve">Israel Jerusalem</w:t>
      </w:r>
      <w:r>
        <w:t xml:space="preserve">, secondary classrooms are rarely homogenous. They often contain students with varying levels of Hebrew proficiency, differing degrees of religious observance, and diverse socioeconomic backgrounds. Therefore, the pedagogy employed by the</w:t>
      </w:r>
      <w:r>
        <w:t xml:space="preserve"> </w:t>
      </w:r>
      <w:r>
        <w:rPr>
          <w:bCs/>
          <w:b/>
        </w:rPr>
        <w:t xml:space="preserve">Teacher Secondary</w:t>
      </w:r>
      <w:r>
        <w:t xml:space="preserve"> </w:t>
      </w:r>
      <w:r>
        <w:t xml:space="preserve">must be highly adaptive. Differentiated instruction is not just a buzzword here; it is a necessity. Educators must utilize visual aids, group work that mixes social groups to break down barriers, and project-based learning that allows students to connect academic concepts to their local reality. By anchoring lessons in the context of</w:t>
      </w:r>
      <w:r>
        <w:t xml:space="preserve"> </w:t>
      </w:r>
      <w:r>
        <w:rPr>
          <w:bCs/>
          <w:b/>
        </w:rPr>
        <w:t xml:space="preserve">Israel Jerusalem</w:t>
      </w:r>
      <w:r>
        <w:t xml:space="preserve">—whether studying history through local archives or literature through regional authors—the</w:t>
      </w:r>
      <w:r>
        <w:t xml:space="preserve"> </w:t>
      </w:r>
      <w:r>
        <w:rPr>
          <w:bCs/>
          <w:b/>
        </w:rPr>
        <w:t xml:space="preserve">Teacher Secondary</w:t>
      </w:r>
      <w:r>
        <w:t xml:space="preserve"> </w:t>
      </w:r>
      <w:r>
        <w:t xml:space="preserve">can make abstract concepts tangible and relevant for all students.</w:t>
      </w:r>
    </w:p>
    <w:bookmarkEnd w:id="22"/>
    <w:p>
      <w:pPr>
        <w:pStyle w:val="BodyText"/>
      </w:pPr>
      <w:r>
        <w:br/>
      </w:r>
    </w:p>
    <w:bookmarkStart w:id="23" w:name="X60d43232d6c1b0b2066b983a221c23fa394b1ea"/>
    <w:p>
      <w:pPr>
        <w:pStyle w:val="Heading2"/>
      </w:pPr>
      <w:r>
        <w:t xml:space="preserve">Slide 4: Civic Education and Social Responsibility</w:t>
      </w:r>
    </w:p>
    <w:p>
      <w:pPr>
        <w:pStyle w:val="FirstParagraph"/>
      </w:pPr>
      <w:r>
        <w:t xml:space="preserve">A core pillar of secondary education in this region is the cultivation of democratic values and civic responsibility. As a</w:t>
      </w:r>
      <w:r>
        <w:t xml:space="preserve"> </w:t>
      </w:r>
      <w:r>
        <w:rPr>
          <w:bCs/>
          <w:b/>
        </w:rPr>
        <w:t xml:space="preserve">Teacher Secondary</w:t>
      </w:r>
      <w:r>
        <w:t xml:space="preserve"> </w:t>
      </w:r>
      <w:r>
        <w:t xml:space="preserve">in</w:t>
      </w:r>
      <w:r>
        <w:t xml:space="preserve"> </w:t>
      </w:r>
      <w:r>
        <w:rPr>
          <w:bCs/>
          <w:b/>
        </w:rPr>
        <w:t xml:space="preserve">Israel Jerusalem</w:t>
      </w:r>
      <w:r>
        <w:t xml:space="preserve">, you are tasked with guiding adolescents who are on the cusp of mandatory national service or active societal participation. The curriculum must encourage dialogue regarding complex local issues, such as security, peace processes, urban development, and social justice. However, this requires a delicate touch. The educator must foster an environment of "contested democracy," where students learn to disagree respectfully without resorting to hostility. This aspect of the role is critical in maintaining long-term stability and mutual understanding within the fractured social fabric often reflected in</w:t>
      </w:r>
      <w:r>
        <w:t xml:space="preserve"> </w:t>
      </w:r>
      <w:r>
        <w:rPr>
          <w:bCs/>
          <w:b/>
        </w:rPr>
        <w:t xml:space="preserve">Israel Jerusalem</w:t>
      </w:r>
      <w:r>
        <w:t xml:space="preserve">.</w:t>
      </w:r>
    </w:p>
    <w:bookmarkEnd w:id="23"/>
    <w:p>
      <w:pPr>
        <w:pStyle w:val="BodyText"/>
      </w:pPr>
      <w:r>
        <w:br/>
      </w:r>
    </w:p>
    <w:bookmarkStart w:id="24" w:name="X4f5f5a188c64705f155466719fc35c2dcd16dec"/>
    <w:p>
      <w:pPr>
        <w:pStyle w:val="Heading2"/>
      </w:pPr>
      <w:r>
        <w:t xml:space="preserve">Slide 5: Psychological Support and Trauma-Informed Teaching</w:t>
      </w:r>
    </w:p>
    <w:p>
      <w:pPr>
        <w:pStyle w:val="FirstParagraph"/>
      </w:pPr>
      <w:r>
        <w:t xml:space="preserve">We cannot ignore the psychological climate of</w:t>
      </w:r>
      <w:r>
        <w:t xml:space="preserve"> </w:t>
      </w:r>
      <w:r>
        <w:rPr>
          <w:bCs/>
          <w:b/>
        </w:rPr>
        <w:t xml:space="preserve">Israel Jerusalem</w:t>
      </w:r>
      <w:r>
        <w:t xml:space="preserve">. Living in a region subject to periodic conflict, economic strain, and social tension takes a toll on adolescent mental health. Consequently, the role of the</w:t>
      </w:r>
      <w:r>
        <w:t xml:space="preserve"> </w:t>
      </w:r>
      <w:r>
        <w:rPr>
          <w:bCs/>
          <w:b/>
        </w:rPr>
        <w:t xml:space="preserve">Teacher Secondary</w:t>
      </w:r>
      <w:r>
        <w:t xml:space="preserve"> </w:t>
      </w:r>
      <w:r>
        <w:t xml:space="preserve">extends beyond academics into that of a mentor and psychological support system. Teachers must be trained in trauma-informed practices to recognize signs of distress in their students. Whether due to family displacement, community violence, or national anxiety, students need safe spaces to process their emotions. A supportive teacher can significantly mitigate the negative impacts of external stressors on academic performance and social development.</w:t>
      </w:r>
    </w:p>
    <w:bookmarkEnd w:id="24"/>
    <w:p>
      <w:pPr>
        <w:pStyle w:val="BodyText"/>
      </w:pPr>
      <w:r>
        <w:br/>
      </w:r>
    </w:p>
    <w:bookmarkStart w:id="25" w:name="X75b828366a4ff7c84ccd7724089dd65b11559ff"/>
    <w:p>
      <w:pPr>
        <w:pStyle w:val="Heading2"/>
      </w:pPr>
      <w:r>
        <w:t xml:space="preserve">Slide 6: Technology Integration in Traditional Settings</w:t>
      </w:r>
    </w:p>
    <w:p>
      <w:pPr>
        <w:pStyle w:val="FirstParagraph"/>
      </w:pPr>
      <w:r>
        <w:t xml:space="preserve">Despite its ancient roots,</w:t>
      </w:r>
      <w:r>
        <w:t xml:space="preserve"> </w:t>
      </w:r>
      <w:r>
        <w:rPr>
          <w:bCs/>
          <w:b/>
        </w:rPr>
        <w:t xml:space="preserve">Israel Jerusalem</w:t>
      </w:r>
      <w:r>
        <w:t xml:space="preserve"> </w:t>
      </w:r>
      <w:r>
        <w:t xml:space="preserve">is a hub for technology innovation. The modern</w:t>
      </w:r>
      <w:r>
        <w:t xml:space="preserve"> </w:t>
      </w:r>
      <w:r>
        <w:rPr>
          <w:bCs/>
          <w:b/>
        </w:rPr>
        <w:t xml:space="preserve">Teacher Secondary</w:t>
      </w:r>
      <w:r>
        <w:t xml:space="preserve"> </w:t>
      </w:r>
      <w:r>
        <w:t xml:space="preserve">must leverage this environment to enhance learning outcomes. Digital literacy is a crucial skill for secondary students preparing for higher education and the workforce. Integrating STEM subjects, coding initiatives, and digital humanities into the curriculum helps prepare these students to contribute meaningfully to the country's high-tech sector while staying grounded in their local heritage. The challenge lies in balancing high-tech tools with traditional pedagogical methods that emphasize human connection, debate, and historical context.</w:t>
      </w:r>
    </w:p>
    <w:bookmarkEnd w:id="25"/>
    <w:p>
      <w:pPr>
        <w:pStyle w:val="BodyText"/>
      </w:pPr>
      <w:r>
        <w:br/>
      </w:r>
    </w:p>
    <w:bookmarkStart w:id="26" w:name="Xe7835050f8845e5641a0c9b4bdc017540f3563a"/>
    <w:p>
      <w:pPr>
        <w:pStyle w:val="Heading2"/>
      </w:pPr>
      <w:r>
        <w:t xml:space="preserve">Slide 7: Collaboration with Community Stakeholders</w:t>
      </w:r>
    </w:p>
    <w:p>
      <w:pPr>
        <w:pStyle w:val="FirstParagraph"/>
      </w:pPr>
      <w:r>
        <w:t xml:space="preserve">Teaching does not occur in a vacuum. In</w:t>
      </w:r>
      <w:r>
        <w:t xml:space="preserve"> </w:t>
      </w:r>
      <w:r>
        <w:rPr>
          <w:bCs/>
          <w:b/>
        </w:rPr>
        <w:t xml:space="preserve">Israel Jerusalem</w:t>
      </w:r>
      <w:r>
        <w:t xml:space="preserve">, the</w:t>
      </w:r>
      <w:r>
        <w:t xml:space="preserve"> </w:t>
      </w:r>
      <w:r>
        <w:rPr>
          <w:bCs/>
          <w:b/>
        </w:rPr>
        <w:t xml:space="preserve">Teacher Secondary</w:t>
      </w:r>
      <w:r>
        <w:t xml:space="preserve"> </w:t>
      </w:r>
      <w:r>
        <w:t xml:space="preserve">must actively collaborate with parents, community leaders, social workers, and local municipal bodies. Engaging the community can provide additional resources for students and foster a sense of shared responsibility for student success. For instance, inviting local elders or civic activists to speak can bring history alive in ways textbooks cannot. Furthermore, maintaining open lines of communication with families is essential to navigate the diverse cultural expectations regarding education, gender roles, and career paths prevalent in different neighborhoods.</w:t>
      </w:r>
    </w:p>
    <w:bookmarkEnd w:id="26"/>
    <w:p>
      <w:pPr>
        <w:pStyle w:val="BodyText"/>
      </w:pPr>
      <w:r>
        <w:br/>
      </w:r>
    </w:p>
    <w:bookmarkStart w:id="27" w:name="X6b56747eca092b3dd7fce5d79d51fe3cf5ebfb2"/>
    <w:p>
      <w:pPr>
        <w:pStyle w:val="Heading2"/>
      </w:pPr>
      <w:r>
        <w:t xml:space="preserve">Slide 8: Professional Development and Resilience</w:t>
      </w:r>
    </w:p>
    <w:p>
      <w:pPr>
        <w:pStyle w:val="FirstParagraph"/>
      </w:pPr>
      <w:r>
        <w:t xml:space="preserve">The demands placed on a</w:t>
      </w:r>
      <w:r>
        <w:t xml:space="preserve"> </w:t>
      </w:r>
      <w:r>
        <w:rPr>
          <w:bCs/>
          <w:b/>
        </w:rPr>
        <w:t xml:space="preserve">Teacher Secondary</w:t>
      </w:r>
      <w:r>
        <w:t xml:space="preserve"> </w:t>
      </w:r>
      <w:r>
        <w:t xml:space="preserve">in this challenging environment are immense. Continuous professional development is essential to keep pace with evolving educational standards, new psychological insights, and changing social dynamics. Teachers must engage in peer-learning communities within</w:t>
      </w:r>
      <w:r>
        <w:t xml:space="preserve"> </w:t>
      </w:r>
      <w:r>
        <w:rPr>
          <w:bCs/>
          <w:b/>
        </w:rPr>
        <w:t xml:space="preserve">Israel Jerusalem</w:t>
      </w:r>
      <w:r>
        <w:t xml:space="preserve">, sharing best practices for managing diverse classrooms and handling sensitive topics. Resilience training for educators themselves is also vital to prevent burnout. A healthy, supported teacher is better equipped to support their students.</w:t>
      </w:r>
    </w:p>
    <w:bookmarkEnd w:id="27"/>
    <w:p>
      <w:pPr>
        <w:pStyle w:val="BodyText"/>
      </w:pPr>
      <w:r>
        <w:br/>
      </w:r>
    </w:p>
    <w:bookmarkStart w:id="28" w:name="Xc9abd225dd1f2c7cb29ac3015bd393802f3ae8f"/>
    <w:p>
      <w:pPr>
        <w:pStyle w:val="Heading2"/>
      </w:pPr>
      <w:r>
        <w:t xml:space="preserve">Slide 9: Conclusion - The Educator as a Catalyst</w:t>
      </w:r>
    </w:p>
    <w:p>
      <w:pPr>
        <w:pStyle w:val="FirstParagraph"/>
      </w:pPr>
      <w:r>
        <w:t xml:space="preserve">In conclusion, the role of the</w:t>
      </w:r>
      <w:r>
        <w:t xml:space="preserve"> </w:t>
      </w:r>
      <w:r>
        <w:rPr>
          <w:bCs/>
          <w:b/>
        </w:rPr>
        <w:t xml:space="preserve">Teacher Secondary</w:t>
      </w:r>
      <w:r>
        <w:t xml:space="preserve"> </w:t>
      </w:r>
      <w:r>
        <w:t xml:space="preserve">in</w:t>
      </w:r>
      <w:r>
        <w:t xml:space="preserve"> </w:t>
      </w:r>
      <w:r>
        <w:rPr>
          <w:bCs/>
          <w:b/>
        </w:rPr>
        <w:t xml:space="preserve">Israel Jerusalem</w:t>
      </w:r>
      <w:r>
        <w:t xml:space="preserve"> </w:t>
      </w:r>
      <w:r>
        <w:t xml:space="preserve">is one of profound significance. These educators are not merely instructors; they are architects of the future social structure and guardians of democratic values. Through adaptive pedagogy, psychological support, and community engagement, they help shape a generation capable of navigating complexity with empathy and intellect. Let us embrace this challenge with dedication, recognizing that every lesson delivered in these halls contributes to the broader narrative of coexistence and progress.</w:t>
      </w:r>
    </w:p>
    <w:bookmarkEnd w:id="28"/>
    <w:p>
      <w:pPr>
        <w:pStyle w:val="BodyText"/>
      </w:pPr>
      <w:r>
        <w:br/>
      </w:r>
    </w:p>
    <w:bookmarkStart w:id="29" w:name="slide-10-references-and-further-reading"/>
    <w:p>
      <w:pPr>
        <w:pStyle w:val="Heading2"/>
      </w:pPr>
      <w:r>
        <w:t xml:space="preserve">Slide 10: References and Further Reading</w:t>
      </w:r>
    </w:p>
    <w:p>
      <w:pPr>
        <w:pStyle w:val="FirstParagraph"/>
      </w:pPr>
      <w:r>
        <w:t xml:space="preserve">For those interested in delving deeper into the specifics of secondary education reform, curriculum standards for history and civics in</w:t>
      </w:r>
      <w:r>
        <w:t xml:space="preserve"> </w:t>
      </w:r>
      <w:r>
        <w:rPr>
          <w:bCs/>
          <w:b/>
        </w:rPr>
        <w:t xml:space="preserve">Israel Jerusalem</w:t>
      </w:r>
      <w:r>
        <w:t xml:space="preserve">, case studies on trauma-informed teaching practices, and technological integration strategies. Please consult local Ministry of Education guidelines, academic journals focusing on Middle Eastern education systems, and reports from NGOs dedicated to social cohesion through education.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Israel Jerusalem</dc:title>
  <dc:creator/>
  <dc:language>en</dc:language>
  <cp:keywords/>
  <dcterms:created xsi:type="dcterms:W3CDTF">2026-07-29T06:58:56Z</dcterms:created>
  <dcterms:modified xsi:type="dcterms:W3CDTF">2026-07-29T06:58:56Z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