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8384eeb178bebf698d670cbc1d13ae598c93489"/>
    <w:p>
      <w:pPr>
        <w:pStyle w:val="Heading1"/>
      </w:pPr>
      <w:r>
        <w:t xml:space="preserve">Seminar Presentation Slides:</w:t>
      </w:r>
      <w:r>
        <w:br/>
      </w:r>
      <w:r>
        <w:t xml:space="preserve">The Evolving Role of the Teacher Secondary in New Zealand Auckland</w:t>
      </w:r>
    </w:p>
    <w:bookmarkStart w:id="20" w:name="welcome-and-overview"/>
    <w:p>
      <w:pPr>
        <w:pStyle w:val="Heading2"/>
      </w:pPr>
      <w:r>
        <w:t xml:space="preserve">Welcome and Overview</w:t>
      </w:r>
    </w:p>
    <w:p>
      <w:pPr>
        <w:pStyle w:val="FirstParagraph"/>
      </w:pPr>
      <w:r>
        <w:t xml:space="preserve">This seminar presentation provides a comprehensive overview of the secondary education landscape specifically within Auckland, New Zealand. It explores the unique responsibilities, cultural expectations, and pedagogical strategies required for modern Secondary Teachers in this dynamic region.</w:t>
      </w:r>
    </w:p>
    <w:p>
      <w:pPr>
        <w:numPr>
          <w:ilvl w:val="0"/>
          <w:numId w:val="1001"/>
        </w:numPr>
        <w:pStyle w:val="Compact"/>
      </w:pPr>
      <w:r>
        <w:rPr>
          <w:bCs/>
          <w:b/>
        </w:rPr>
        <w:t xml:space="preserve">Presentation Objective:</w:t>
      </w:r>
      <w:r>
        <w:t xml:space="preserve"> </w:t>
      </w:r>
      <w:r>
        <w:t xml:space="preserve">To equip educators with an understanding of the specific context of teaching secondary students in Auckland's diverse communities.</w:t>
      </w:r>
    </w:p>
    <w:p>
      <w:pPr>
        <w:numPr>
          <w:ilvl w:val="0"/>
          <w:numId w:val="1001"/>
        </w:numPr>
        <w:pStyle w:val="Compact"/>
      </w:pPr>
      <w:r>
        <w:rPr>
          <w:bCs/>
          <w:b/>
        </w:rPr>
        <w:t xml:space="preserve">Auckland Context:</w:t>
      </w:r>
      <w:r>
        <w:t xml:space="preserve"> </w:t>
      </w:r>
      <w:r>
        <w:t xml:space="preserve">As New Zealand’s largest city, Auckland presents a unique microcosm of global diversity. The role of the Teacher Secondary here is not merely instructional but deeply relational and community-focused.</w:t>
      </w:r>
    </w:p>
    <w:p>
      <w:pPr>
        <w:numPr>
          <w:ilvl w:val="0"/>
          <w:numId w:val="1001"/>
        </w:numPr>
        <w:pStyle w:val="Compact"/>
      </w:pPr>
      <w:r>
        <w:rPr>
          <w:bCs/>
          <w:b/>
        </w:rPr>
        <w:t xml:space="preserve">The Seminar Audience:</w:t>
      </w:r>
      <w:r>
        <w:t xml:space="preserve"> </w:t>
      </w:r>
      <w:r>
        <w:t xml:space="preserve">This document is designed for both new entrants to the profession and experienced educators seeking to refine their practice in accordance with New Zealand’s Te Tiriti o Waitangi principles.</w:t>
      </w:r>
    </w:p>
    <w:bookmarkEnd w:id="20"/>
    <w:bookmarkStart w:id="21" w:name="the-auckland-demographic-landscape"/>
    <w:p>
      <w:pPr>
        <w:pStyle w:val="Heading2"/>
      </w:pPr>
      <w:r>
        <w:t xml:space="preserve">The Auckland Demographic Landscape</w:t>
      </w:r>
    </w:p>
    <w:p>
      <w:pPr>
        <w:pStyle w:val="FirstParagraph"/>
      </w:pPr>
      <w:r>
        <w:t xml:space="preserve">Auckland is the most linguistically and culturally diverse region in New Zealand. A Secondary Teacher working here must navigate a complex web of identities to effectively engage students.</w:t>
      </w:r>
    </w:p>
    <w:p>
      <w:pPr>
        <w:numPr>
          <w:ilvl w:val="0"/>
          <w:numId w:val="1002"/>
        </w:numPr>
        <w:pStyle w:val="Compact"/>
      </w:pPr>
      <w:r>
        <w:rPr>
          <w:bCs/>
          <w:b/>
        </w:rPr>
        <w:t xml:space="preserve">Cultural Diversity:</w:t>
      </w:r>
      <w:r>
        <w:t xml:space="preserve"> </w:t>
      </w:r>
      <w:r>
        <w:t xml:space="preserve">Approximately half of Auckland’s population was born overseas. Secondary classrooms often contain students from Pasifika, Asian, Māori, European (Pākehā), and Middle Eastern backgrounds simultaneously.</w:t>
      </w:r>
    </w:p>
    <w:p>
      <w:pPr>
        <w:numPr>
          <w:ilvl w:val="0"/>
          <w:numId w:val="1002"/>
        </w:numPr>
        <w:pStyle w:val="Compact"/>
      </w:pPr>
      <w:r>
        <w:rPr>
          <w:bCs/>
          <w:b/>
        </w:rPr>
        <w:t xml:space="preserve">The Role of the Teacher Secondary:</w:t>
      </w:r>
      <w:r>
        <w:t xml:space="preserve"> </w:t>
      </w:r>
      <w:r>
        <w:t xml:space="preserve">The teacher must act as a cultural mediator. It is essential to move beyond "tolerance" toward active celebration of diversity in the curriculum. For example, integrating Pasifika success models (such as Tuakana-Teina) into secondary science or mathematics classes can drastically improve engagement.</w:t>
      </w:r>
    </w:p>
    <w:p>
      <w:pPr>
        <w:numPr>
          <w:ilvl w:val="0"/>
          <w:numId w:val="1002"/>
        </w:numPr>
        <w:pStyle w:val="Compact"/>
      </w:pPr>
      <w:r>
        <w:rPr>
          <w:bCs/>
          <w:b/>
        </w:rPr>
        <w:t xml:space="preserve">Socioeconomic Variance:</w:t>
      </w:r>
      <w:r>
        <w:t xml:space="preserve"> </w:t>
      </w:r>
      <w:r>
        <w:t xml:space="preserve">Auckland exhibits stark disparities between affluent suburbs and areas facing significant socioeconomic deprivation. The Teacher Secondary must be adaptable, providing equitable access to resources regardless of a student's background.</w:t>
      </w:r>
    </w:p>
    <w:p>
      <w:pPr>
        <w:pStyle w:val="FirstParagraph"/>
      </w:pPr>
      <w:r>
        <w:t xml:space="preserve">Key Takeaway: In Auckland, cultural competence is not an optional add-on; it is the foundation of effective secondary teaching.</w:t>
      </w:r>
    </w:p>
    <w:bookmarkEnd w:id="21"/>
    <w:bookmarkStart w:id="22" w:name="Xdd8ba08aeaef7655af783cdca48a4577d55343f"/>
    <w:p>
      <w:pPr>
        <w:pStyle w:val="Heading2"/>
      </w:pPr>
      <w:r>
        <w:t xml:space="preserve">Te Tiriti o Waitangi in Secondary Education</w:t>
      </w:r>
    </w:p>
    <w:p>
      <w:pPr>
        <w:pStyle w:val="FirstParagraph"/>
      </w:pPr>
      <w:r>
        <w:t xml:space="preserve">All educators registered in New Zealand are bound by the Teaching Council of Aotearoa New Zealand’s standards, which require a commitment to Te Tiriti o Waitangi (The Treaty of Waitangi).</w:t>
      </w:r>
    </w:p>
    <w:p>
      <w:pPr>
        <w:numPr>
          <w:ilvl w:val="0"/>
          <w:numId w:val="1003"/>
        </w:numPr>
        <w:pStyle w:val="Compact"/>
      </w:pPr>
      <w:r>
        <w:rPr>
          <w:bCs/>
          <w:b/>
        </w:rPr>
        <w:t xml:space="preserve">Educating for Success:</w:t>
      </w:r>
      <w:r>
        <w:t xml:space="preserve"> </w:t>
      </w:r>
      <w:r>
        <w:t xml:space="preserve">The strategy "Educating for Success" places specific emphasis on Māori achieving educational success as Māori. For the Teacher Secondary, this means ensuring that Māori knowledge systems (Mātauranga Māori) are respected and integrated into the broader curriculum.</w:t>
      </w:r>
    </w:p>
    <w:p>
      <w:pPr>
        <w:numPr>
          <w:ilvl w:val="0"/>
          <w:numId w:val="1003"/>
        </w:numPr>
        <w:pStyle w:val="Compact"/>
      </w:pPr>
      <w:r>
        <w:rPr>
          <w:bCs/>
          <w:b/>
        </w:rPr>
        <w:t xml:space="preserve">Promoting Te Reo and Tikanga:</w:t>
      </w:r>
      <w:r>
        <w:t xml:space="preserve"> </w:t>
      </w:r>
      <w:r>
        <w:t xml:space="preserve">Whether teaching Mathematics or English, Auckland teachers should incorporate basic elements of Te Reo Māori. In an Auckland context, this also involves respecting the specific iwi (tribal) protocols relevant to the local marae and community.</w:t>
      </w:r>
    </w:p>
    <w:p>
      <w:pPr>
        <w:numPr>
          <w:ilvl w:val="0"/>
          <w:numId w:val="1003"/>
        </w:numPr>
        <w:pStyle w:val="Compact"/>
      </w:pPr>
      <w:r>
        <w:rPr>
          <w:bCs/>
          <w:b/>
        </w:rPr>
        <w:t xml:space="preserve">Advocacy:</w:t>
      </w:r>
      <w:r>
        <w:t xml:space="preserve"> </w:t>
      </w:r>
      <w:r>
        <w:t xml:space="preserve">A crucial aspect of being a Teacher Secondary in New Zealand is acting as an advocate for equity. This involves identifying systemic biases in assessment and pedagogy that may disadvantage Māori or Pasifika students.</w:t>
      </w:r>
    </w:p>
    <w:bookmarkEnd w:id="22"/>
    <w:bookmarkStart w:id="23" w:name="the-new-zealand-curriculum-nzc-framework"/>
    <w:p>
      <w:pPr>
        <w:pStyle w:val="Heading2"/>
      </w:pPr>
      <w:r>
        <w:t xml:space="preserve">The New Zealand Curriculum (NZC) Framework</w:t>
      </w:r>
    </w:p>
    <w:p>
      <w:pPr>
        <w:pStyle w:val="FirstParagraph"/>
      </w:pPr>
      <w:r>
        <w:t xml:space="preserve">The Teacher Secondary must be well-versed in the New Zealand Curriculum, which focuses on key competencies rather than just rote memorization of content.</w:t>
      </w:r>
    </w:p>
    <w:p>
      <w:pPr>
        <w:numPr>
          <w:ilvl w:val="0"/>
          <w:numId w:val="1004"/>
        </w:numPr>
        <w:pStyle w:val="Compact"/>
      </w:pPr>
      <w:r>
        <w:rPr>
          <w:bCs/>
          <w:b/>
        </w:rPr>
        <w:t xml:space="preserve">Key Competencies:</w:t>
      </w:r>
      <w:r>
        <w:t xml:space="preserve"> </w:t>
      </w:r>
      <w:r>
        <w:t xml:space="preserve">The curriculum emphasizes five key competencies: Managing Self, Relating to Others, Thinking, Using Language/Symbols/Texts, and Participating and Contributing. In an Auckland classroom with large group sizes or diverse needs, teaching "Managing Self" is critical for student autonomy.</w:t>
      </w:r>
    </w:p>
    <w:p>
      <w:pPr>
        <w:numPr>
          <w:ilvl w:val="0"/>
          <w:numId w:val="1004"/>
        </w:numPr>
        <w:pStyle w:val="Compact"/>
      </w:pPr>
      <w:r>
        <w:rPr>
          <w:bCs/>
          <w:b/>
        </w:rPr>
        <w:t xml:space="preserve">Values:</w:t>
      </w:r>
      <w:r>
        <w:t xml:space="preserve"> </w:t>
      </w:r>
      <w:r>
        <w:t xml:space="preserve">Excellence, Innovation/Enterprise/Creativity/Meaning-Making, Inclusion/Diversity/Achievement/Equity/Honesty/Responsibility/Rules and Procedures. The Teacher Secondary must model these values daily.</w:t>
      </w:r>
    </w:p>
    <w:p>
      <w:pPr>
        <w:numPr>
          <w:ilvl w:val="0"/>
          <w:numId w:val="1004"/>
        </w:numPr>
        <w:pStyle w:val="Compact"/>
      </w:pPr>
      <w:r>
        <w:rPr>
          <w:bCs/>
          <w:b/>
        </w:rPr>
        <w:t xml:space="preserve">Cross-Curricular Themes:</w:t>
      </w:r>
      <w:r>
        <w:t xml:space="preserve"> </w:t>
      </w:r>
      <w:r>
        <w:t xml:space="preserve">Auckland teachers frequently integrate themes such as Sustainability (highly relevant due to climate change impacts on the Pacific region) and Citizenship into their lessons to make learning relevant to local realities.</w:t>
      </w:r>
    </w:p>
    <w:bookmarkEnd w:id="23"/>
    <w:bookmarkStart w:id="24" w:name="X085351e0caca4e54908564a922fbef2f687a169"/>
    <w:p>
      <w:pPr>
        <w:pStyle w:val="Heading2"/>
      </w:pPr>
      <w:r>
        <w:t xml:space="preserve">Pedagogical Approaches for Auckland Secondary Teachers</w:t>
      </w:r>
    </w:p>
    <w:p>
      <w:pPr>
        <w:pStyle w:val="FirstParagraph"/>
      </w:pPr>
      <w:r>
        <w:t xml:space="preserve">The traditional "sage on the stage" model is largely obsolete in modern New Zealand secondary education, particularly in a diverse city like Auckland.</w:t>
      </w:r>
    </w:p>
    <w:p>
      <w:pPr>
        <w:numPr>
          <w:ilvl w:val="0"/>
          <w:numId w:val="1005"/>
        </w:numPr>
        <w:pStyle w:val="Compact"/>
      </w:pPr>
      <w:r>
        <w:rPr>
          <w:bCs/>
          <w:b/>
        </w:rPr>
        <w:t xml:space="preserve">Inclusive Pedagogy:</w:t>
      </w:r>
      <w:r>
        <w:t xml:space="preserve"> </w:t>
      </w:r>
      <w:r>
        <w:t xml:space="preserve">With English as an Additional Language (EAL) students comprising a significant portion of Auckland schools, teachers must utilize scaffolding techniques. This includes visual aids, simplified language structures for complex topics, and peer-support systems.</w:t>
      </w:r>
    </w:p>
    <w:p>
      <w:pPr>
        <w:numPr>
          <w:ilvl w:val="0"/>
          <w:numId w:val="1005"/>
        </w:numPr>
        <w:pStyle w:val="Compact"/>
      </w:pPr>
      <w:r>
        <w:rPr>
          <w:bCs/>
          <w:b/>
        </w:rPr>
        <w:t xml:space="preserve">The Tuakana-Teina Model:</w:t>
      </w:r>
      <w:r>
        <w:t xml:space="preserve"> </w:t>
      </w:r>
      <w:r>
        <w:t xml:space="preserve">Originally a Māori concept referring to the relationship between an older/skilled sibling (Tuakana) and a younger/less skilled sibling (Teina), this approach is now widely adopted in New Zealand schools. Older secondary students mentor younger ones, fostering community and reducing the teacher's workload while increasing student agency.</w:t>
      </w:r>
    </w:p>
    <w:p>
      <w:pPr>
        <w:numPr>
          <w:ilvl w:val="0"/>
          <w:numId w:val="1005"/>
        </w:numPr>
        <w:pStyle w:val="Compact"/>
      </w:pPr>
      <w:r>
        <w:rPr>
          <w:bCs/>
          <w:b/>
        </w:rPr>
        <w:t xml:space="preserve">Relational Teaching:</w:t>
      </w:r>
      <w:r>
        <w:t xml:space="preserve"> </w:t>
      </w:r>
      <w:r>
        <w:t xml:space="preserve">In Auckland’s urban environment, where youth disengagement can be an issue, building strong rapport is paramount. The Teacher Secondary acts as a trusted adult figure who provides stability in rapidly changing environments.</w:t>
      </w:r>
    </w:p>
    <w:p>
      <w:pPr>
        <w:pStyle w:val="FirstParagraph"/>
      </w:pPr>
      <w:r>
        <w:t xml:space="preserve">Practical Strategy: Utilize "Relational First" approaches before attempting to deliver heavy content loads, especially with Year 9 and 10 students transitioning from primary school.</w:t>
      </w:r>
    </w:p>
    <w:bookmarkEnd w:id="24"/>
    <w:bookmarkStart w:id="26" w:name="X36bc404f7e6a5491c8e78e7a57821dffb033482"/>
    <w:p>
      <w:pPr>
        <w:pStyle w:val="Heading2"/>
      </w:pPr>
      <w:r>
        <w:t xml:space="preserve">NCEA (National Certificate of Educational Achievement)</w:t>
      </w:r>
    </w:p>
    <w:p>
      <w:pPr>
        <w:pStyle w:val="FirstParagraph"/>
      </w:pPr>
      <w:r>
        <w:t xml:space="preserve">The NCEA system is the bedrock of secondary assessment in New Zealand. The Teacher Secondary must be an expert navigator of this system.</w:t>
      </w:r>
    </w:p>
    <w:p>
      <w:pPr>
        <w:numPr>
          <w:ilvl w:val="0"/>
          <w:numId w:val="1006"/>
        </w:numPr>
        <w:pStyle w:val="Compact"/>
      </w:pPr>
      <w:r>
        <w:rPr>
          <w:bCs/>
          <w:b/>
        </w:rPr>
        <w:t xml:space="preserve">Literacy and Numeracy:</w:t>
      </w:r>
      <w:r>
        <w:t xml:space="preserve"> </w:t>
      </w:r>
      <w:r>
        <w:t xml:space="preserve">All students must achieve specific standards in literacy and numeration to graduate. Auckland teachers play a vital role in supporting these standards across all subjects, not just English or Math.</w:t>
      </w:r>
    </w:p>
    <w:p>
      <w:pPr>
        <w:numPr>
          <w:ilvl w:val="0"/>
          <w:numId w:val="1006"/>
        </w:numPr>
        <w:pStyle w:val="Compact"/>
      </w:pPr>
      <w:r>
        <w:rPr>
          <w:bCs/>
          <w:b/>
        </w:rPr>
        <w:t xml:space="preserve">Achievement Standards vs. Achievement Criteria:</w:t>
      </w:r>
      <w:r>
        <w:t xml:space="preserve"> </w:t>
      </w:r>
      <w:r>
        <w:t xml:space="preserve">Teachers must clearly articulate the difference between Achieved, Merit, and Excellence criteria to students. In diverse classrooms like those in Auckland, making these distinctions clear is essential for equity.</w:t>
      </w:r>
    </w:p>
    <w:p>
      <w:pPr>
        <w:numPr>
          <w:ilvl w:val="0"/>
          <w:numId w:val="1006"/>
        </w:numPr>
        <w:pStyle w:val="Compact"/>
      </w:pPr>
      <w:r>
        <w:rPr>
          <w:bCs/>
          <w:b/>
        </w:rPr>
        <w:t xml:space="preserve">External Assessments:</w:t>
      </w:r>
      <w:r>
        <w:t xml:space="preserve"> </w:t>
      </w:r>
      <w:r>
        <w:t xml:space="preserve">Preparing students for external exams requires structured revision strategies and psychological support. Teachers in high-pressure Auckland schools must balance academic rigour with pastoral care.</w:t>
      </w:r>
    </w:p>
    <w:bookmarkStart w:id="25" w:name="the-impact-of-ncea-changes"/>
    <w:p>
      <w:pPr>
        <w:pStyle w:val="Heading3"/>
      </w:pPr>
      <w:r>
        <w:t xml:space="preserve">The Impact of NCEA Changes</w:t>
      </w:r>
    </w:p>
    <w:p>
      <w:pPr>
        <w:pStyle w:val="FirstParagraph"/>
      </w:pPr>
      <w:r>
        <w:t xml:space="preserve">New Zealand is currently undergoing changes to the NCEA system (NCEA 2021/2024 changes). The Teacher Secondary must remain agile, adapting to new requirements that emphasize broader skill sets and reduced assessment overload.</w:t>
      </w:r>
    </w:p>
    <w:bookmarkEnd w:id="25"/>
    <w:bookmarkEnd w:id="26"/>
    <w:bookmarkStart w:id="27" w:name="Xc0fc3b6f39bc92cdb9f97d4ae19e587582743b5"/>
    <w:p>
      <w:pPr>
        <w:pStyle w:val="Heading2"/>
      </w:pPr>
      <w:r>
        <w:t xml:space="preserve">Pastoral Care and Wellbeing in the Auckland Context</w:t>
      </w:r>
    </w:p>
    <w:p>
      <w:pPr>
        <w:pStyle w:val="FirstParagraph"/>
      </w:pPr>
      <w:r>
        <w:t xml:space="preserve">In New Zealand, "Pastoral Care" is a statutory requirement for schools. For the Teacher Secondary, this extends far beyond administrative duties into holistic student development.</w:t>
      </w:r>
    </w:p>
    <w:p>
      <w:pPr>
        <w:numPr>
          <w:ilvl w:val="0"/>
          <w:numId w:val="1007"/>
        </w:numPr>
        <w:pStyle w:val="Compact"/>
      </w:pPr>
      <w:r>
        <w:rPr>
          <w:bCs/>
          <w:b/>
        </w:rPr>
        <w:t xml:space="preserve">Suicide Prevention:</w:t>
      </w:r>
      <w:r>
        <w:t xml:space="preserve"> </w:t>
      </w:r>
      <w:r>
        <w:t xml:space="preserve">Tragically, youth suicide rates have been a concern in parts of Auckland. Teachers are on the front line of mental health awareness. The role involves recognizing signs of distress and knowing the pathways to refer students to school counselors or external agencies like Youthline.</w:t>
      </w:r>
    </w:p>
    <w:p>
      <w:pPr>
        <w:numPr>
          <w:ilvl w:val="0"/>
          <w:numId w:val="1007"/>
        </w:numPr>
        <w:pStyle w:val="Compact"/>
      </w:pPr>
      <w:r>
        <w:rPr>
          <w:bCs/>
          <w:b/>
        </w:rPr>
        <w:t xml:space="preserve">Cultural Safety:</w:t>
      </w:r>
      <w:r>
        <w:t xml:space="preserve"> </w:t>
      </w:r>
      <w:r>
        <w:t xml:space="preserve">Creating a culturally safe space means ensuring that students feel their identity is respected. For Pasifika youth, this might involve acknowledging family obligations; for Māori youth, connecting them with iwi resources.</w:t>
      </w:r>
    </w:p>
    <w:p>
      <w:pPr>
        <w:numPr>
          <w:ilvl w:val="0"/>
          <w:numId w:val="1007"/>
        </w:numPr>
        <w:pStyle w:val="Compact"/>
      </w:pPr>
      <w:r>
        <w:rPr>
          <w:bCs/>
          <w:b/>
        </w:rPr>
        <w:t xml:space="preserve">Housing and Stability:</w:t>
      </w:r>
      <w:r>
        <w:t xml:space="preserve"> </w:t>
      </w:r>
      <w:r>
        <w:t xml:space="preserve">Due to Auckland’s housing crisis, many secondary students face housing instability or homelessness. The Teacher Secondary must be compassionate and flexible regarding attendance policies while connecting families with community support services.</w:t>
      </w:r>
    </w:p>
    <w:bookmarkEnd w:id="27"/>
    <w:bookmarkStart w:id="28" w:name="Xd7b2c5e42dfda985eb7b9de1b2e56a8b96cef5c"/>
    <w:p>
      <w:pPr>
        <w:pStyle w:val="Heading2"/>
      </w:pPr>
      <w:r>
        <w:t xml:space="preserve">The Professional Standard: Continuing Practice</w:t>
      </w:r>
    </w:p>
    <w:p>
      <w:pPr>
        <w:pStyle w:val="FirstParagraph"/>
      </w:pPr>
      <w:r>
        <w:t xml:space="preserve">Maintaining registration as a Teacher in New Zealand requires ongoing professional development. The landscape of education in Auckland is fast-paced, requiring constant upskilling.</w:t>
      </w:r>
    </w:p>
    <w:p>
      <w:pPr>
        <w:numPr>
          <w:ilvl w:val="0"/>
          <w:numId w:val="1008"/>
        </w:numPr>
        <w:pStyle w:val="Compact"/>
      </w:pPr>
      <w:r>
        <w:rPr>
          <w:bCs/>
          <w:b/>
        </w:rPr>
        <w:t xml:space="preserve">PDR (Professional Development Reviews):</w:t>
      </w:r>
      <w:r>
        <w:t xml:space="preserve"> </w:t>
      </w:r>
      <w:r>
        <w:t xml:space="preserve">Teachers must engage in reflective practice. This involves analyzing student data to improve teaching strategies and setting personal goals aligned with the school's strategic plan.</w:t>
      </w:r>
    </w:p>
    <w:p>
      <w:pPr>
        <w:numPr>
          <w:ilvl w:val="0"/>
          <w:numId w:val="1008"/>
        </w:numPr>
        <w:pStyle w:val="Compact"/>
      </w:pPr>
      <w:r>
        <w:rPr>
          <w:bCs/>
          <w:b/>
        </w:rPr>
        <w:t xml:space="preserve">Culturally Responsive Pedagogy:</w:t>
      </w:r>
      <w:r>
        <w:t xml:space="preserve"> </w:t>
      </w:r>
      <w:r>
        <w:t xml:space="preserve">Even experienced teachers are encouraged to undertake training in culturally responsive practices specific to New Zealand contexts, ensuring they remain effective educators for Auckland’s diverse populations.</w:t>
      </w:r>
    </w:p>
    <w:p>
      <w:pPr>
        <w:numPr>
          <w:ilvl w:val="0"/>
          <w:numId w:val="1008"/>
        </w:numPr>
        <w:pStyle w:val="Compact"/>
      </w:pPr>
      <w:r>
        <w:rPr>
          <w:bCs/>
          <w:b/>
        </w:rPr>
        <w:t xml:space="preserve">Digital Literacy:</w:t>
      </w:r>
      <w:r>
        <w:t xml:space="preserve"> </w:t>
      </w:r>
      <w:r>
        <w:t xml:space="preserve">The integration of technology in Auckland schools is advanced. Teachers must proficiently use Learning Management Systems (LMS) and digital tools to facilitate blended learning environments.</w:t>
      </w:r>
    </w:p>
    <w:p>
      <w:pPr>
        <w:pStyle w:val="FirstParagraph"/>
      </w:pPr>
      <w:r>
        <w:t xml:space="preserve">Commitment: A dedicated Teacher Secondary commits to lifelong learning, ensuring that their methods evolve alongside the needs of their students.</w:t>
      </w:r>
    </w:p>
    <w:bookmarkEnd w:id="28"/>
    <w:bookmarkStart w:id="29" w:name="conclusion-and-future-outlook"/>
    <w:p>
      <w:pPr>
        <w:pStyle w:val="Heading2"/>
      </w:pPr>
      <w:r>
        <w:t xml:space="preserve">Conclusion and Future Outlook</w:t>
      </w:r>
    </w:p>
    <w:p>
      <w:pPr>
        <w:pStyle w:val="FirstParagraph"/>
      </w:pPr>
      <w:r>
        <w:t xml:space="preserve">The role of the Teacher Secondary in New Zealand Auckland is multifaceted, challenging, and profoundly rewarding. It requires a blend of academic expertise, cultural intelligence, and deep empathy.</w:t>
      </w:r>
    </w:p>
    <w:p>
      <w:pPr>
        <w:numPr>
          <w:ilvl w:val="0"/>
          <w:numId w:val="1009"/>
        </w:numPr>
        <w:pStyle w:val="Compact"/>
      </w:pPr>
      <w:r>
        <w:rPr>
          <w:bCs/>
          <w:b/>
        </w:rPr>
        <w:t xml:space="preserve">Synthesis:</w:t>
      </w:r>
      <w:r>
        <w:t xml:space="preserve"> </w:t>
      </w:r>
      <w:r>
        <w:t xml:space="preserve">We have explored the demographic realities of Auckland, the legal requirements of Te Tiriti o Waitangi, the pedagogical frameworks of the NZC and NCEA, and the importance of wellbeing.</w:t>
      </w:r>
    </w:p>
    <w:p>
      <w:pPr>
        <w:numPr>
          <w:ilvl w:val="0"/>
          <w:numId w:val="1009"/>
        </w:numPr>
        <w:pStyle w:val="Compact"/>
      </w:pPr>
      <w:r>
        <w:rPr>
          <w:bCs/>
          <w:b/>
        </w:rPr>
        <w:t xml:space="preserve">The Way Forward:</w:t>
      </w:r>
      <w:r>
        <w:t xml:space="preserve"> </w:t>
      </w:r>
      <w:r>
        <w:t xml:space="preserve">As we move forward, secondary teachers in Auckland must continue to be advocates for equity. The future lies in collaborative communities where schools work closely with iwi (tribes), families, and community organizations to support the holistic development of every child.</w:t>
      </w:r>
    </w:p>
    <w:p>
      <w:pPr>
        <w:numPr>
          <w:ilvl w:val="0"/>
          <w:numId w:val="1009"/>
        </w:numPr>
        <w:pStyle w:val="Compact"/>
      </w:pPr>
      <w:r>
        <w:rPr>
          <w:bCs/>
          <w:b/>
        </w:rPr>
        <w:t xml:space="preserve">Final Thought:</w:t>
      </w:r>
      <w:r>
        <w:t xml:space="preserve"> </w:t>
      </w:r>
      <w:r>
        <w:t xml:space="preserve">By embracing the unique identity of New Zealand and the specific diversity of Auckland, teachers can create transformative educational experiences. The Teacher Secondary is not just a transmitter of knowledge but a shaper of society's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New Zealand Auckland</dc:title>
  <dc:creator/>
  <dc:language>en</dc:language>
  <cp:keywords/>
  <dcterms:created xsi:type="dcterms:W3CDTF">2026-07-29T19:39:28Z</dcterms:created>
  <dcterms:modified xsi:type="dcterms:W3CDTF">2026-07-29T19:39:28Z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