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Turkey</w:t>
      </w:r>
      <w:r>
        <w:t xml:space="preserve"> </w:t>
      </w:r>
      <w:r>
        <w:t xml:space="preserve">Istanbul</w:t>
      </w:r>
    </w:p>
    <w:bookmarkStart w:id="32" w:name="seminar-presentation-slides"/>
    <w:p>
      <w:pPr>
        <w:pStyle w:val="Heading1"/>
      </w:pPr>
      <w:r>
        <w:t xml:space="preserve">Seminar Presentation Slides</w:t>
      </w:r>
    </w:p>
    <w:bookmarkStart w:id="20" w:name="X4063d5a10ad8c41cdf6f1f8b9da6c3251d8279e"/>
    <w:p>
      <w:pPr>
        <w:pStyle w:val="Heading2"/>
      </w:pPr>
      <w:r>
        <w:t xml:space="preserve">Title Slide: Transforming Education in Turkey Istanbul</w:t>
      </w:r>
    </w:p>
    <w:p>
      <w:pPr>
        <w:pStyle w:val="FirstParagraph"/>
      </w:pPr>
      <w:r>
        <w:rPr>
          <w:bCs/>
          <w:b/>
        </w:rPr>
        <w:t xml:space="preserve">Presentation Topic:</w:t>
      </w:r>
      <w:r>
        <w:t xml:space="preserve"> </w:t>
      </w:r>
      <w:r>
        <w:t xml:space="preserve">The Role and Evolution of the Teacher Secondary Professional in the Context of Turkey Istanbul.</w:t>
      </w:r>
    </w:p>
    <w:p>
      <w:pPr>
        <w:pStyle w:val="BodyText"/>
      </w:pPr>
      <w:r>
        <w:rPr>
          <w:bCs/>
          <w:b/>
        </w:rPr>
        <w:t xml:space="preserve">Purpose:</w:t>
      </w:r>
    </w:p>
    <w:p>
      <w:pPr>
        <w:numPr>
          <w:ilvl w:val="0"/>
          <w:numId w:val="1001"/>
        </w:numPr>
        <w:pStyle w:val="Compact"/>
      </w:pPr>
      <w:r>
        <w:t xml:space="preserve">To analyze the current landscape of secondary education in Turkey Istanbul.</w:t>
      </w:r>
    </w:p>
    <w:p>
      <w:pPr>
        <w:numPr>
          <w:ilvl w:val="0"/>
          <w:numId w:val="1001"/>
        </w:numPr>
        <w:pStyle w:val="Compact"/>
      </w:pPr>
      <w:r>
        <w:t xml:space="preserve">To define the modern requirements for a Teacher Secondary professional.</w:t>
      </w:r>
    </w:p>
    <w:p>
      <w:pPr>
        <w:numPr>
          <w:ilvl w:val="0"/>
          <w:numId w:val="1001"/>
        </w:numPr>
        <w:pStyle w:val="Compact"/>
      </w:pPr>
      <w:r>
        <w:t xml:space="preserve">To explore pedagogical strategies tailored to this dynamic urban environment.</w:t>
      </w:r>
    </w:p>
    <w:bookmarkEnd w:id="20"/>
    <w:bookmarkStart w:id="21" w:name="the-context-why-turkey-istanbul-matters"/>
    <w:p>
      <w:pPr>
        <w:pStyle w:val="Heading2"/>
      </w:pPr>
      <w:r>
        <w:t xml:space="preserve">The Context: Why Turkey Istanbul Matters</w:t>
      </w:r>
    </w:p>
    <w:p>
      <w:pPr>
        <w:pStyle w:val="FirstParagraph"/>
      </w:pPr>
      <w:r>
        <w:t xml:space="preserve">Istanbul stands as the cultural, economic, and educational heart of Turkey. As a metropolis where East meets West, the educational landscape in this region is uniquely complex. It serves as a microcosm of global challenges and opportunities.</w:t>
      </w:r>
    </w:p>
    <w:p>
      <w:pPr>
        <w:pStyle w:val="BodyText"/>
      </w:pPr>
      <w:r>
        <w:t xml:space="preserve">The city hosts millions of students from diverse backgrounds. This diversity necessitates an adaptive approach to schooling that goes beyond traditional methods. The rapid demographic shifts within Turkey Istanbul have introduced new layers of complexity for the education system, requiring educators to be culturally sensitive, technologically proficient, and pedagogically flexible.</w:t>
      </w:r>
    </w:p>
    <w:p>
      <w:pPr>
        <w:pStyle w:val="BodyText"/>
      </w:pPr>
      <w:r>
        <w:t xml:space="preserve">Understanding the specific socio-economic conditions of districts in Turkey Istanbul is crucial. From historical peninsulas to rapidly expanding suburbs on the Asian side, each area presents distinct challenges and resources that shape how education is delivered.</w:t>
      </w:r>
    </w:p>
    <w:bookmarkEnd w:id="21"/>
    <w:bookmarkStart w:id="22" w:name="Xf4612ad0bd263226eb36fde2f9d7ca072002f86"/>
    <w:p>
      <w:pPr>
        <w:pStyle w:val="Heading2"/>
      </w:pPr>
      <w:r>
        <w:t xml:space="preserve">The Modern Teacher Secondary: A New Definition</w:t>
      </w:r>
    </w:p>
    <w:p>
      <w:pPr>
        <w:pStyle w:val="FirstParagraph"/>
      </w:pPr>
      <w:r>
        <w:t xml:space="preserve">Gone are the days when a secondary school teacher was merely a transmitter of knowledge. Today, the role of the Teacher Secondary has evolved into that of a facilitator, mentor, and digital innovator.</w:t>
      </w:r>
    </w:p>
    <w:p>
      <w:pPr>
        <w:pStyle w:val="BodyText"/>
      </w:pPr>
      <w:r>
        <w:t xml:space="preserve">In Turkey Istanbul specifically, this evolution is driven by national curriculum reforms aligned with international standards. The modern educator must:</w:t>
      </w:r>
    </w:p>
    <w:p>
      <w:pPr>
        <w:pStyle w:val="BodyText"/>
      </w:pPr>
      <w:r>
        <w:t xml:space="preserve">Critical think</w:t>
      </w:r>
    </w:p>
    <w:p>
      <w:pPr>
        <w:pStyle w:val="BodyText"/>
      </w:pPr>
      <w:r>
        <w:t xml:space="preserve">Foster creativity</w:t>
      </w:r>
    </w:p>
    <w:p>
      <w:pPr>
        <w:pStyle w:val="BodyText"/>
      </w:pPr>
      <w:r>
        <w:t xml:space="preserve">Promote digital literacy</w:t>
      </w:r>
    </w:p>
    <w:bookmarkEnd w:id="22"/>
    <w:bookmarkStart w:id="23" w:name="X8914a605ebdcef74d2a21178311f6dcdf2d69f7"/>
    <w:p>
      <w:pPr>
        <w:pStyle w:val="Heading2"/>
      </w:pPr>
      <w:r>
        <w:t xml:space="preserve">Pedagogical Strategies for Diverse Classrooms</w:t>
      </w:r>
    </w:p>
    <w:p>
      <w:pPr>
        <w:pStyle w:val="FirstParagraph"/>
      </w:pPr>
      <w:r>
        <w:t xml:space="preserve">In the bustling educational hubs of Turkey Istanbul, classrooms are increasingly heterogeneous. Students may come from varying socioeconomic backgrounds, possess different learning speeds, and have distinct cultural narratives.</w:t>
      </w:r>
    </w:p>
    <w:p>
      <w:pPr>
        <w:pStyle w:val="BodyText"/>
      </w:pPr>
      <w:r>
        <w:t xml:space="preserve">To address this, the Teacher Secondary must employ differentiated instruction. This means adapting teaching materials to meet individual student needs. For instance, utilizing visual aids for students with different learning preferences or incorporating local case studies into national curricula.</w:t>
      </w:r>
    </w:p>
    <w:p>
      <w:pPr>
        <w:pStyle w:val="BodyText"/>
      </w:pPr>
      <w:r>
        <w:t xml:space="preserve">Inclusive education is paramount. Teachers are encouraged to create safe spaces where every student feels valued regardless of their origin within the vast expanse of Turkey Istanbul. This involves addressing language barriers and supporting students who may be second-generation immigrants or from rural areas relocating to the city.</w:t>
      </w:r>
    </w:p>
    <w:bookmarkEnd w:id="23"/>
    <w:bookmarkStart w:id="24" w:name="Xf12dc65f91ca83d73cbc0fe5e399f1495eda169"/>
    <w:p>
      <w:pPr>
        <w:pStyle w:val="Heading2"/>
      </w:pPr>
      <w:r>
        <w:t xml:space="preserve">Integrating Technology in Secondary Education</w:t>
      </w:r>
    </w:p>
    <w:p>
      <w:pPr>
        <w:pStyle w:val="FirstParagraph"/>
      </w:pPr>
      <w:r>
        <w:t xml:space="preserve">Digital transformation is a key pillar of education reform in Turkey Istanbul. Schools here are increasingly equipped with smart classrooms, tablets, and online learning platforms.</w:t>
      </w:r>
    </w:p>
    <w:p>
      <w:pPr>
        <w:pStyle w:val="BodyText"/>
      </w:pPr>
      <w:r>
        <w:t xml:space="preserve">The Teacher Secondary must be proficient in using these tools effectively. It is not enough to simply have access to technology; the educator must integrate it meaningfully into lesson plans to enhance engagement and comprehension.</w:t>
      </w:r>
    </w:p>
    <w:p>
      <w:pPr>
        <w:numPr>
          <w:ilvl w:val="0"/>
          <w:numId w:val="1003"/>
        </w:numPr>
        <w:pStyle w:val="Compact"/>
      </w:pPr>
      <w:r>
        <w:rPr>
          <w:bCs/>
          <w:b/>
        </w:rPr>
        <w:t xml:space="preserve">E-Learning Platforms:</w:t>
      </w:r>
      <w:r>
        <w:t xml:space="preserve"> </w:t>
      </w:r>
      <w:r>
        <w:t xml:space="preserve">Leveraging national platforms like EBA (Education Informatics Network).</w:t>
      </w:r>
    </w:p>
    <w:p>
      <w:pPr>
        <w:numPr>
          <w:ilvl w:val="0"/>
          <w:numId w:val="1003"/>
        </w:numPr>
        <w:pStyle w:val="Compact"/>
      </w:pPr>
      <w:r>
        <w:rPr>
          <w:bCs/>
          <w:b/>
        </w:rPr>
        <w:t xml:space="preserve">Digital Citizenship:</w:t>
      </w:r>
      <w:r>
        <w:t xml:space="preserve"> </w:t>
      </w:r>
      <w:r>
        <w:t xml:space="preserve">Teaching students about online safety and ethical behavior in a hyper-connected world.</w:t>
      </w:r>
    </w:p>
    <w:p>
      <w:pPr>
        <w:numPr>
          <w:ilvl w:val="0"/>
          <w:numId w:val="1003"/>
        </w:numPr>
        <w:pStyle w:val="Compact"/>
      </w:pPr>
      <w:r>
        <w:t xml:space="preserve">Data-Driven Instruction:: Using analytics to track student progress and identify areas needing intervention.</w:t>
      </w:r>
    </w:p>
    <w:p>
      <w:pPr>
        <w:pStyle w:val="FirstParagraph"/>
      </w:pPr>
      <w:r>
        <w:t xml:space="preserve">The synergy between traditional teaching methods and modern technology is essential for creating a robust learning environment in Turkey Istanbul.</w:t>
      </w:r>
    </w:p>
    <w:bookmarkEnd w:id="24"/>
    <w:bookmarkStart w:id="25" w:name="X069bb3f2774763ba5ecdbc55173967b2979a77a"/>
    <w:p>
      <w:pPr>
        <w:pStyle w:val="Heading2"/>
      </w:pPr>
      <w:r>
        <w:t xml:space="preserve">Challenges Faced by Educators in Turkey Istanbul</w:t>
      </w:r>
    </w:p>
    <w:p>
      <w:pPr>
        <w:pStyle w:val="FirstParagraph"/>
      </w:pPr>
      <w:r>
        <w:t xml:space="preserve">Acknowledging challenges is the first step toward overcoming them. Teachers in this region face unique pressures:</w:t>
      </w:r>
    </w:p>
    <w:p>
      <w:pPr>
        <w:numPr>
          <w:ilvl w:val="0"/>
          <w:numId w:val="1004"/>
        </w:numPr>
        <w:pStyle w:val="Compact"/>
      </w:pPr>
      <w:r>
        <w:rPr>
          <w:bCs/>
          <w:b/>
        </w:rPr>
        <w:t xml:space="preserve">Bureaucratic Complexity:</w:t>
      </w:r>
      <w:r>
        <w:t xml:space="preserve">: Navigating administrative requirements can sometimes detract from instructional time.</w:t>
      </w:r>
    </w:p>
    <w:p>
      <w:pPr>
        <w:numPr>
          <w:ilvl w:val="0"/>
          <w:numId w:val="1004"/>
        </w:numPr>
        <w:pStyle w:val="Compact"/>
      </w:pPr>
      <w:r>
        <w:t xml:space="preserve">Resource Disparities:: While some schools in affluent areas of Turkey Istanbul have state-of-the-art facilities, others may lack basic resources.</w:t>
      </w:r>
    </w:p>
    <w:p>
      <w:pPr>
        <w:numPr>
          <w:ilvl w:val="0"/>
          <w:numId w:val="1004"/>
        </w:numPr>
        <w:pStyle w:val="Compact"/>
      </w:pPr>
      <w:r>
        <w:t xml:space="preserve">Socio-Political Sensitivities:: Educators must often navigate complex social dynamics and political sensitivities inherent in a city of this magnitude.</w:t>
      </w:r>
    </w:p>
    <w:p>
      <w:pPr>
        <w:pStyle w:val="FirstParagraph"/>
      </w:pPr>
      <w:r>
        <w:t xml:space="preserve">Addressing these challenges requires systemic support, ongoing professional development, and strong community involvement.</w:t>
      </w:r>
    </w:p>
    <w:bookmarkEnd w:id="25"/>
    <w:bookmarkStart w:id="26" w:name="X80978dd4b9449dd2daa34d178eb56a5959172aa"/>
    <w:p>
      <w:pPr>
        <w:pStyle w:val="Heading2"/>
      </w:pPr>
      <w:r>
        <w:t xml:space="preserve">The Role of Continuous Professional Development (CPD)</w:t>
      </w:r>
    </w:p>
    <w:p>
      <w:pPr>
        <w:pStyle w:val="FirstParagraph"/>
      </w:pPr>
      <w:r>
        <w:t xml:space="preserve">To maintain high standards, the Teacher Secondary must engage in lifelong learning.</w:t>
      </w:r>
    </w:p>
    <w:p>
      <w:pPr>
        <w:pStyle w:val="BodyText"/>
      </w:pPr>
      <w:r>
        <w:t xml:space="preserve">In Turkey Istanbul, this means participating in workshops, seminars, and university partnerships that keep educators updated on pedagogical trends. CPD should focus not only on subject matter expertise but also on soft skills like emotional intelligence and conflict resolution.</w:t>
      </w:r>
    </w:p>
    <w:p>
      <w:pPr>
        <w:pStyle w:val="BodyText"/>
      </w:pPr>
      <w:r>
        <w:t xml:space="preserve">Encouraging peer-to-peer learning among teachers in the same school or district.</w:t>
      </w:r>
    </w:p>
    <w:p>
      <w:pPr>
        <w:pStyle w:val="BodyText"/>
      </w:pPr>
      <w:r>
        <w:t xml:space="preserve">Promoting research-based practices within secondary schools in Turkey Istanbul.</w:t>
      </w:r>
    </w:p>
    <w:bookmarkEnd w:id="26"/>
    <w:bookmarkStart w:id="27" w:name="community-and-parental-engagement"/>
    <w:p>
      <w:pPr>
        <w:pStyle w:val="Heading2"/>
      </w:pPr>
      <w:r>
        <w:t xml:space="preserve">Community and Parental Engagement</w:t>
      </w:r>
    </w:p>
    <w:p>
      <w:pPr>
        <w:pStyle w:val="FirstParagraph"/>
      </w:pPr>
      <w:r>
        <w:t xml:space="preserve">Educational success is a collaborative effort. In Turkey Istanbul, strong ties between schools and parents are vital.</w:t>
      </w:r>
    </w:p>
    <w:p>
      <w:pPr>
        <w:pStyle w:val="BodyText"/>
      </w:pPr>
      <w:r>
        <w:t xml:space="preserve">The Teacher Secondary should actively engage with parents through regular communication channels, parent-teacher associations, and community events. Building trust ensures that home supports school learning effectively.</w:t>
      </w:r>
    </w:p>
    <w:p>
      <w:pPr>
        <w:pStyle w:val="BodyText"/>
      </w:pPr>
      <w:r>
        <w:t xml:space="preserve">Furthermore, engaging with local businesses and cultural institutions in Turkey Istanbul can provide real-world learning opportunities for students. This holistic approach fosters a sense of community ownership over the education process.</w:t>
      </w:r>
    </w:p>
    <w:bookmarkEnd w:id="27"/>
    <w:bookmarkStart w:id="28" w:name="Xc0d6b2672730e2326c35615635592a98ff3faf3"/>
    <w:p>
      <w:pPr>
        <w:pStyle w:val="Heading2"/>
      </w:pPr>
      <w:r>
        <w:t xml:space="preserve">The Future Outlook: Preparing Students for Global Competitiveness</w:t>
      </w:r>
    </w:p>
    <w:p>
      <w:pPr>
        <w:pStyle w:val="FirstParagraph"/>
      </w:pPr>
      <w:r>
        <w:t xml:space="preserve">The ultimate goal of secondary education in Turkey Istanbul is to prepare students for future success. This involves equipping them with 21st-century skills such as collaboration, communication, critical thinking, and creativity.</w:t>
      </w:r>
    </w:p>
    <w:p>
      <w:pPr>
        <w:pStyle w:val="BodyText"/>
      </w:pPr>
      <w:r>
        <w:t xml:space="preserve">As Turkey continues to integrate more deeply into the global economy and academic spheres, the quality of its secondary teachers becomes a strategic asset. The Teacher Secondary in this context is not just an instructor but a nation-builder who shapes future leaders.</w:t>
      </w:r>
    </w:p>
    <w:p>
      <w:pPr>
        <w:pStyle w:val="BodyText"/>
      </w:pPr>
      <w:r>
        <w:t xml:space="preserve">By fostering innovation and resilience in students, educators contribute directly to the socioeconomic development of Turkey Istanbul and the broader country.</w:t>
      </w:r>
    </w:p>
    <w:bookmarkEnd w:id="28"/>
    <w:bookmarkStart w:id="29" w:name="Xb179517456d417490eb616f083d776cb6af30c5"/>
    <w:p>
      <w:pPr>
        <w:pStyle w:val="Heading2"/>
      </w:pPr>
      <w:r>
        <w:t xml:space="preserve">Actionable Recommendations for Stakeholders</w:t>
      </w:r>
    </w:p>
    <w:p>
      <w:pPr>
        <w:pStyle w:val="FirstParagraph"/>
      </w:pPr>
      <w:r>
        <w:t xml:space="preserve">To enhance the quality of secondary education in Turkey Istanbul, we propose:</w:t>
      </w:r>
    </w:p>
    <w:p>
      <w:pPr>
        <w:numPr>
          <w:ilvl w:val="0"/>
          <w:numId w:val="1006"/>
        </w:numPr>
        <w:pStyle w:val="Compact"/>
      </w:pPr>
      <w:r>
        <w:t xml:space="preserve">Increased funding for teacher training programs focusing on digital literacy and inclusive pedagogy.</w:t>
      </w:r>
    </w:p>
    <w:p>
      <w:pPr>
        <w:numPr>
          <w:ilvl w:val="0"/>
          <w:numId w:val="1006"/>
        </w:numPr>
        <w:pStyle w:val="Compact"/>
      </w:pPr>
      <w:r>
        <w:t xml:space="preserve">Reduction of administrative burdens on Teachers Secondary to allow more focus on student interaction.</w:t>
      </w:r>
    </w:p>
    <w:p>
      <w:pPr>
        <w:numPr>
          <w:ilvl w:val="0"/>
          <w:numId w:val="1006"/>
        </w:numPr>
        <w:pStyle w:val="Compact"/>
      </w:pPr>
      <w:r>
        <w:t xml:space="preserve">Development of mentorship programs pairing experienced educators with novices in high-needs areas.</w:t>
      </w:r>
    </w:p>
    <w:p>
      <w:pPr>
        <w:pStyle w:val="FirstParagraph"/>
      </w:pPr>
      <w:r>
        <w:t xml:space="preserve">This strategic investment will pay dividends in student outcomes and societal well-being.</w:t>
      </w:r>
    </w:p>
    <w:bookmarkEnd w:id="29"/>
    <w:bookmarkStart w:id="30" w:name="Xe04881ae496994abefc2aacd1f2ba52d158fb1d"/>
    <w:p>
      <w:pPr>
        <w:pStyle w:val="Heading2"/>
      </w:pPr>
      <w:r>
        <w:t xml:space="preserve">Conclusion: Empowering the Teacher Secondary</w:t>
      </w:r>
    </w:p>
    <w:p>
      <w:pPr>
        <w:pStyle w:val="FirstParagraph"/>
      </w:pPr>
      <w:r>
        <w:t xml:space="preserve">The journey toward educational excellence in Turkey Istanbul relies heavily on empowering the Teacher Secondary. By recognizing their critical role, providing necessary resources, and fostering a supportive professional environment, we can transform secondary education.</w:t>
      </w:r>
    </w:p>
    <w:p>
      <w:pPr>
        <w:pStyle w:val="BodyText"/>
      </w:pPr>
      <w:r>
        <w:t xml:space="preserve">We must move forward with a commitment to equity, innovation, and cultural relevance. The future of Turkey Istanbul's youth depends on the quality of its educators. Let us commit to supporting them every step of the way.</w:t>
      </w:r>
    </w:p>
    <w:bookmarkEnd w:id="30"/>
    <w:bookmarkStart w:id="31" w:name="qa-session"/>
    <w:p>
      <w:pPr>
        <w:pStyle w:val="Heading2"/>
      </w:pPr>
      <w:r>
        <w:t xml:space="preserve">Q&amp;A Session</w:t>
      </w:r>
    </w:p>
    <w:p>
      <w:pPr>
        <w:pStyle w:val="FirstParagraph"/>
      </w:pPr>
      <w:r>
        <w:t xml:space="preserve">We welcome your questions and insights regarding secondary education in Turkey Istanbul.</w:t>
      </w:r>
    </w:p>
    <w:p>
      <w:pPr>
        <w:numPr>
          <w:ilvl w:val="0"/>
          <w:numId w:val="1007"/>
        </w:numPr>
        <w:pStyle w:val="Compact"/>
      </w:pPr>
      <w:r>
        <w:t xml:space="preserve">Discussion on specific regional challenges?</w:t>
      </w:r>
    </w:p>
    <w:p>
      <w:pPr>
        <w:numPr>
          <w:ilvl w:val="0"/>
          <w:numId w:val="1007"/>
        </w:numPr>
        <w:pStyle w:val="Compact"/>
      </w:pPr>
      <w:r>
        <w:t xml:space="preserve">Best practices for technology integration?</w:t>
      </w:r>
    </w:p>
    <w:p>
      <w:pPr>
        <w:pStyle w:val="FirstParagraph"/>
      </w:pPr>
      <w:r>
        <w:t xml:space="preserve">Your feedback is valuable in shaping the future of our educational framework. Thank you for your attention and dedication to this vital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Turkey Istanbul</dc:title>
  <dc:creator/>
  <dc:language>en</dc:language>
  <cp:keywords/>
  <dcterms:created xsi:type="dcterms:W3CDTF">2026-07-29T15:03:55Z</dcterms:created>
  <dcterms:modified xsi:type="dcterms:W3CDTF">2026-07-29T15:03:55Z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