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0d1eb671eb593f3fe65d58285507bd331b39764"/>
    <w:p>
      <w:pPr>
        <w:pStyle w:val="Heading1"/>
      </w:pPr>
      <w:r>
        <w:t xml:space="preserve">Seminar Presentation Slides: Teacher Secondary Education in United Kingdom London</w:t>
      </w:r>
    </w:p>
    <w:bookmarkEnd w:id="20"/>
    <w:bookmarkStart w:id="21" w:name="slide-1-title-and-introduction"/>
    <w:p>
      <w:pPr>
        <w:pStyle w:val="Heading2"/>
      </w:pPr>
      <w:r>
        <w:t xml:space="preserve">Slide 1 : Title and Introduction</w:t>
      </w:r>
    </w:p>
    <w:p>
      <w:pPr>
        <w:pStyle w:val="FirstParagraph"/>
      </w:pPr>
      <w:r>
        <w:rPr>
          <w:bCs/>
          <w:b/>
        </w:rPr>
        <w:t xml:space="preserve">Seminar Presentation Slides</w:t>
      </w:r>
      <w:r>
        <w:t xml:space="preserve"> </w:t>
      </w:r>
      <w:r>
        <w:t xml:space="preserve">on the role of the Teacher Secondary within the dynamic educational landscape of</w:t>
      </w:r>
      <w:r>
        <w:t xml:space="preserve"> </w:t>
      </w:r>
      <w:r>
        <w:rPr>
          <w:bCs/>
          <w:b/>
        </w:rPr>
        <w:t xml:space="preserve">United Kingdom London</w:t>
      </w:r>
      <w:r>
        <w:t xml:space="preserve">. This presentation outlines critical pedagogical strategies, cultural adaptations, and professional standards required for success in this prestigious region.</w:t>
      </w:r>
    </w:p>
    <w:bookmarkEnd w:id="21"/>
    <w:bookmarkStart w:id="22" w:name="X8c276dd74502322a97b2792a18240327108870d"/>
    <w:p>
      <w:pPr>
        <w:pStyle w:val="Heading2"/>
      </w:pPr>
      <w:r>
        <w:t xml:space="preserve">Slide 2: The Context of Secondary Education</w:t>
      </w:r>
    </w:p>
    <w:p>
      <w:pPr>
        <w:pStyle w:val="FirstParagraph"/>
      </w:pPr>
      <w:r>
        <w:t xml:space="preserve">The framework of secondary schooling is rigorous. As we explore the context, it is vital to acknowledge that every Teacher Secondary operates within a specific regulatory environment. In the capital city, this context is accelerated by diversity and high academic expectations.</w:t>
      </w:r>
    </w:p>
    <w:p>
      <w:pPr>
        <w:numPr>
          <w:ilvl w:val="0"/>
          <w:numId w:val="1001"/>
        </w:numPr>
        <w:pStyle w:val="Compact"/>
      </w:pPr>
      <w:r>
        <w:rPr>
          <w:bCs/>
          <w:b/>
        </w:rPr>
        <w:t xml:space="preserve">Pedagogical Structure:</w:t>
      </w:r>
      <w:r>
        <w:t xml:space="preserve"> </w:t>
      </w:r>
      <w:r>
        <w:t xml:space="preserve">Understanding GCSEs (General Certificate of Secondary Education) and A-Levels is paramount for any prospective Teacher Secondary candidate in London.</w:t>
      </w:r>
    </w:p>
    <w:p>
      <w:pPr>
        <w:numPr>
          <w:ilvl w:val="0"/>
          <w:numId w:val="1001"/>
        </w:numPr>
        <w:pStyle w:val="Compact"/>
      </w:pPr>
      <w:r>
        <w:rPr>
          <w:bCs/>
          <w:b/>
        </w:rPr>
        <w:t xml:space="preserve">Inclusivity:</w:t>
      </w:r>
      <w:r>
        <w:t xml:space="preserve"> </w:t>
      </w:r>
      <w:r>
        <w:t xml:space="preserve">Recognizing that every classroom in the UK contains varied learning needs. Adaptability is key to effective teaching.</w:t>
      </w:r>
    </w:p>
    <w:bookmarkEnd w:id="22"/>
    <w:bookmarkStart w:id="23" w:name="X907beaf7d1f545bdfc26067341d77dc4e6610a6"/>
    <w:p>
      <w:pPr>
        <w:pStyle w:val="Heading2"/>
      </w:pPr>
      <w:r>
        <w:t xml:space="preserve">Slide 3: The Unique Landscape of United Kingdom London</w:t>
      </w:r>
    </w:p>
    <w:p>
      <w:pPr>
        <w:pStyle w:val="FirstParagraph"/>
      </w:pPr>
      <w:r>
        <w:rPr>
          <w:bCs/>
          <w:b/>
        </w:rPr>
        <w:t xml:space="preserve">London</w:t>
      </w:r>
      <w:r>
        <w:t xml:space="preserve">, as the capital of the UK, presents a microcosm of global cultures. The role of a Teacher Secondary here is uniquely challenging and rewarding. Teachers must navigate an environment where up to eighty percent of students may speak English as an additional language (EAL).</w:t>
      </w:r>
    </w:p>
    <w:p>
      <w:pPr>
        <w:pStyle w:val="BodyText"/>
      </w:pPr>
      <w:r>
        <w:t xml:space="preserve">This reality dictates that instructional materials must be accessible across linguistic barriers while maintaining high academic standards expected in the British curriculum.</w:t>
      </w:r>
    </w:p>
    <w:bookmarkEnd w:id="23"/>
    <w:bookmarkStart w:id="24" w:name="X0842d13486b2a7cb7e9fe8f96855a49198c682e"/>
    <w:p>
      <w:pPr>
        <w:pStyle w:val="Heading2"/>
      </w:pPr>
      <w:r>
        <w:t xml:space="preserve">Slide 4: Core Competencies for Modern Educators</w:t>
      </w:r>
    </w:p>
    <w:p>
      <w:pPr>
        <w:numPr>
          <w:ilvl w:val="0"/>
          <w:numId w:val="1002"/>
        </w:numPr>
        <w:pStyle w:val="Compact"/>
      </w:pPr>
      <w:r>
        <w:rPr>
          <w:bCs/>
          <w:b/>
        </w:rPr>
        <w:t xml:space="preserve">Pastoral Care:</w:t>
      </w:r>
      <w:r>
        <w:t xml:space="preserve"> </w:t>
      </w:r>
      <w:r>
        <w:t xml:space="preserve">Beyond academics, the Teacher Secondary is responsible for safeguarding student welfare. Understanding UK safeguarding laws and mental health support mechanisms is non-negotiable.</w:t>
      </w:r>
    </w:p>
    <w:p>
      <w:pPr>
        <w:numPr>
          <w:ilvl w:val="0"/>
          <w:numId w:val="1002"/>
        </w:numPr>
        <w:pStyle w:val="Compact"/>
      </w:pPr>
      <w:r>
        <w:rPr>
          <w:bCs/>
          <w:b/>
        </w:rPr>
        <w:t xml:space="preserve">Digital Literacy:</w:t>
      </w:r>
      <w:r>
        <w:t xml:space="preserve"> </w:t>
      </w:r>
      <w:r>
        <w:t xml:space="preserve">Leveraging technology to enhance learning outcomes in line with modern educational trends observed across all regions of the United Kingdom.</w:t>
      </w:r>
    </w:p>
    <w:bookmarkEnd w:id="24"/>
    <w:bookmarkStart w:id="25" w:name="X8acabd9f25bfec3f62cb8231d6f4a570f5aed8e"/>
    <w:p>
      <w:pPr>
        <w:pStyle w:val="Heading2"/>
      </w:pPr>
      <w:r>
        <w:t xml:space="preserve">Slide 5: Curriculum Integration and Assessment</w:t>
      </w:r>
    </w:p>
    <w:p>
      <w:pPr>
        <w:pStyle w:val="FirstParagraph"/>
      </w:pPr>
      <w:r>
        <w:t xml:space="preserve">A robust understanding of subject-specific knowledge is required. The Teacher Secondary must deliver content that aligns with national standards while encouraging critical thinking skills essential for higher education admissions.</w:t>
      </w:r>
    </w:p>
    <w:p>
      <w:pPr>
        <w:numPr>
          <w:ilvl w:val="0"/>
          <w:numId w:val="1003"/>
        </w:numPr>
        <w:pStyle w:val="Compact"/>
      </w:pPr>
      <w:r>
        <w:rPr>
          <w:bCs/>
          <w:b/>
        </w:rPr>
        <w:t xml:space="preserve">Data-Driven Instruction:</w:t>
      </w:r>
      <w:r>
        <w:t xml:space="preserve"> </w:t>
      </w:r>
      <w:r>
        <w:t xml:space="preserve">Monitoring student progress continuously through formative assessments ensures no learner falls behind.</w:t>
      </w:r>
    </w:p>
    <w:p>
      <w:pPr>
        <w:numPr>
          <w:ilvl w:val="0"/>
          <w:numId w:val="1003"/>
        </w:numPr>
        <w:pStyle w:val="Compact"/>
      </w:pPr>
      <w:r>
        <w:rPr>
          <w:bCs/>
          <w:b/>
        </w:rPr>
        <w:t xml:space="preserve">Critical Analysis:</w:t>
      </w:r>
      <w:r>
        <w:t xml:space="preserve">Fostering an environment where students can critically evaluate information is vital for academic excellence in British schools.</w:t>
      </w:r>
    </w:p>
    <w:bookmarkEnd w:id="25"/>
    <w:bookmarkStart w:id="26" w:name="X74bc7a392ff528cc9e6db89be09e1ebc8c255c5"/>
    <w:p>
      <w:pPr>
        <w:pStyle w:val="Heading2"/>
      </w:pPr>
      <w:r>
        <w:t xml:space="preserve">Slide 6: Professional Development Pathways</w:t>
      </w:r>
    </w:p>
    <w:p>
      <w:pPr>
        <w:pStyle w:val="FirstParagraph"/>
      </w:pPr>
      <w:r>
        <w:t xml:space="preserve">Career progression is structured. Newly qualified teachers (NQTs) undergo rigorous induction periods. Continuous professional development (CPD) ensures educators remain at the forefront of pedagogical innovation.</w:t>
      </w:r>
    </w:p>
    <w:p>
      <w:pPr>
        <w:numPr>
          <w:ilvl w:val="0"/>
          <w:numId w:val="1004"/>
        </w:numPr>
        <w:pStyle w:val="Compact"/>
      </w:pPr>
      <w:r>
        <w:rPr>
          <w:bCs/>
          <w:b/>
        </w:rPr>
        <w:t xml:space="preserve">Mentorship Programs:</w:t>
      </w:r>
      <w:r>
        <w:t xml:space="preserve"> </w:t>
      </w:r>
      <w:r>
        <w:t xml:space="preserve">Collaborative learning environments where experienced educators guide newer members of staff are standard practice throughout the UK educational system.</w:t>
      </w:r>
    </w:p>
    <w:p>
      <w:pPr>
        <w:numPr>
          <w:ilvl w:val="0"/>
          <w:numId w:val="1004"/>
        </w:numPr>
        <w:pStyle w:val="Compact"/>
      </w:pPr>
      <w:r>
        <w:rPr>
          <w:bCs/>
          <w:b/>
        </w:rPr>
        <w:t xml:space="preserve">Educational Research:</w:t>
      </w:r>
      <w:r>
        <w:t xml:space="preserve">Incorporating evidence-based practices into daily lessons to maximize student potential and engagement levels.</w:t>
      </w:r>
    </w:p>
    <w:bookmarkEnd w:id="26"/>
    <w:bookmarkStart w:id="27" w:name="X561975ea6506246ae734bf2ca20dc434bfe5bdd"/>
    <w:p>
      <w:pPr>
        <w:pStyle w:val="Heading2"/>
      </w:pPr>
      <w:r>
        <w:t xml:space="preserve">Slide 7: Diversity and Cultural Competence</w:t>
      </w:r>
    </w:p>
    <w:p>
      <w:pPr>
        <w:pStyle w:val="FirstParagraph"/>
      </w:pPr>
      <w:r>
        <w:t xml:space="preserve">In the multicultural hub that is London, cultural competence is an essential skill set for educators. Every Teacher Secondary must actively promote equality and diversity within their classrooms.</w:t>
      </w:r>
    </w:p>
    <w:p>
      <w:pPr>
        <w:numPr>
          <w:ilvl w:val="0"/>
          <w:numId w:val="1005"/>
        </w:numPr>
        <w:pStyle w:val="Compact"/>
      </w:pPr>
      <w:r>
        <w:rPr>
          <w:bCs/>
          <w:b/>
        </w:rPr>
        <w:t xml:space="preserve">Cultural Sensitivity:</w:t>
      </w:r>
      <w:r>
        <w:t xml:space="preserve">Awareness of various backgrounds helps build trust with students and parents alike across different communities in the city.</w:t>
      </w:r>
    </w:p>
    <w:p>
      <w:pPr>
        <w:numPr>
          <w:ilvl w:val="0"/>
          <w:numId w:val="1005"/>
        </w:numPr>
        <w:pStyle w:val="Compact"/>
      </w:pPr>
      <w:r>
        <w:rPr>
          <w:bCs/>
          <w:b/>
        </w:rPr>
        <w:t xml:space="preserve">Inclusive Resources:</w:t>
      </w:r>
      <w:r>
        <w:t xml:space="preserve">Selecting teaching materials that reflect diverse perspectives ensures all students feel represented and valued in their educational journey.</w:t>
      </w:r>
    </w:p>
    <w:bookmarkEnd w:id="27"/>
    <w:bookmarkStart w:id="28" w:name="X3be6a06df092fd1250632a5a2571c74e066fd1e"/>
    <w:p>
      <w:pPr>
        <w:pStyle w:val="Heading2"/>
      </w:pPr>
      <w:r>
        <w:t xml:space="preserve">Slide 8: Challenges and Rewards of Teaching in the Capital</w:t>
      </w:r>
    </w:p>
    <w:p>
      <w:pPr>
        <w:pStyle w:val="FirstParagraph"/>
      </w:pPr>
      <w:r>
        <w:t xml:space="preserve">The fast-paced nature of life in London can pose challenges, including high workloads and emotional demands. However, working alongside dedicated colleagues who share similar professional goals creates a supportive network for all educators involved.</w:t>
      </w:r>
    </w:p>
    <w:p>
      <w:pPr>
        <w:numPr>
          <w:ilvl w:val="0"/>
          <w:numId w:val="1006"/>
        </w:numPr>
        <w:pStyle w:val="Compact"/>
      </w:pPr>
      <w:r>
        <w:rPr>
          <w:bCs/>
          <w:b/>
        </w:rPr>
        <w:t xml:space="preserve">Work-Life Balance:</w:t>
      </w:r>
      <w:r>
        <w:t xml:space="preserve">Maintaining healthy boundaries is crucial for long-term career sustainability in the teaching profession.</w:t>
      </w:r>
    </w:p>
    <w:p>
      <w:pPr>
        <w:numPr>
          <w:ilvl w:val="0"/>
          <w:numId w:val="1006"/>
        </w:numPr>
        <w:pStyle w:val="Compact"/>
      </w:pPr>
      <w:r>
        <w:rPr>
          <w:bCs/>
          <w:b/>
        </w:rPr>
        <w:t xml:space="preserve">Rewarding Outcomes:</w:t>
      </w:r>
      <w:r>
        <w:t xml:space="preserve">The joy of seeing students succeed academically and personally makes every effort worthwhile for dedicated educators across Britain.</w:t>
      </w:r>
    </w:p>
    <w:bookmarkEnd w:id="28"/>
    <w:bookmarkStart w:id="29" w:name="slide-9-conclusion-and-future-outlook"/>
    <w:p>
      <w:pPr>
        <w:pStyle w:val="Heading2"/>
      </w:pPr>
      <w:r>
        <w:t xml:space="preserve">Slide 9: Conclusion and Future Outlook</w:t>
      </w:r>
    </w:p>
    <w:p>
      <w:pPr>
        <w:pStyle w:val="FirstParagraph"/>
      </w:pPr>
      <w:r>
        <w:t xml:space="preserve">In summary, becoming an effective Teacher Secondary in the UK requires dedication, adaptability, and a deep understanding of local educational frameworks. As we look towards future trends in education within London's diverse communities:</w:t>
      </w:r>
    </w:p>
    <w:p>
      <w:pPr>
        <w:numPr>
          <w:ilvl w:val="0"/>
          <w:numId w:val="1007"/>
        </w:numPr>
        <w:pStyle w:val="Compact"/>
      </w:pPr>
      <w:r>
        <w:rPr>
          <w:bCs/>
          <w:b/>
        </w:rPr>
        <w:t xml:space="preserve">Lifelong Learning:</w:t>
      </w:r>
      <w:r>
        <w:t xml:space="preserve">Educators must continuously update their knowledge base to remain relevant.</w:t>
      </w:r>
    </w:p>
    <w:p>
      <w:pPr>
        <w:numPr>
          <w:ilvl w:val="0"/>
          <w:numId w:val="1007"/>
        </w:numPr>
        <w:pStyle w:val="Compact"/>
      </w:pPr>
      <w:r>
        <w:rPr>
          <w:bCs/>
          <w:b/>
        </w:rPr>
        <w:t xml:space="preserve">Innovation Adoption:</w:t>
      </w:r>
    </w:p>
    <w:bookmarkEnd w:id="29"/>
    <w:bookmarkStart w:id="30" w:name="slide-10-qa-session"/>
    <w:p>
      <w:pPr>
        <w:pStyle w:val="Heading2"/>
      </w:pPr>
      <w:r>
        <w:t xml:space="preserve">Slide 10: Q&amp;A Session</w:t>
      </w:r>
    </w:p>
    <w:p>
      <w:pPr>
        <w:pStyle w:val="FirstParagraph"/>
      </w:pPr>
      <w:r>
        <w:t xml:space="preserve">We now open the floor for questions regarding any aspect discussed today concerning secondary education roles in London. Your insights and experiences are highly valued as we continue this important dialogue about shaping young minds effectively within our communities today!</w:t>
      </w:r>
    </w:p>
    <w:bookmarkEnd w:id="30"/>
    <w:p>
      <w:pPr>
        <w:pStyle w:val="BodyText"/>
      </w:pPr>
      <w:r>
        <w:t xml:space="preserve">© Seminar Presentation Slides | United Kingdom London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Secondary in United Kingdom London</dc:title>
  <dc:creator/>
  <dc:language>en</dc:language>
  <cp:keywords/>
  <dcterms:created xsi:type="dcterms:W3CDTF">2026-07-29T18:25:01Z</dcterms:created>
  <dcterms:modified xsi:type="dcterms:W3CDTF">2026-07-29T18:25:01Z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