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Translator</w:t>
      </w:r>
      <w:r>
        <w:t xml:space="preserve"> </w:t>
      </w:r>
      <w:r>
        <w:t xml:space="preserve">Interpreter</w:t>
      </w:r>
      <w:r>
        <w:t xml:space="preserve"> </w:t>
      </w:r>
      <w:r>
        <w:t xml:space="preserve">Landscape</w:t>
      </w:r>
      <w:r>
        <w:t xml:space="preserve"> </w:t>
      </w:r>
      <w:r>
        <w:t xml:space="preserve">in</w:t>
      </w:r>
      <w:r>
        <w:t xml:space="preserve"> </w:t>
      </w:r>
      <w:r>
        <w:t xml:space="preserve">Belgium</w:t>
      </w:r>
      <w:r>
        <w:t xml:space="preserve"> </w:t>
      </w:r>
      <w:r>
        <w:t xml:space="preserve">Brussels</w:t>
      </w:r>
    </w:p>
    <w:bookmarkStart w:id="22" w:name="slide-1"/>
    <w:bookmarkStart w:id="21" w:name="Xeb864da58ff49cb5b5cd3d55ec971a3e5634863"/>
    <w:p>
      <w:pPr>
        <w:pStyle w:val="Heading1"/>
      </w:pPr>
      <w:r>
        <w:t xml:space="preserve">The Translator Interpreter Landscape in Belgium Brussels</w:t>
      </w:r>
    </w:p>
    <w:bookmarkStart w:id="20" w:name="X5f6abaa1385c227dd6c7e2748ea7783aed84e32"/>
    <w:p>
      <w:pPr>
        <w:pStyle w:val="Heading2"/>
      </w:pPr>
      <w:r>
        <w:t xml:space="preserve">Navigating Multilingualism in the Heart of Europe</w:t>
      </w:r>
    </w:p>
    <w:p>
      <w:pPr>
        <w:pStyle w:val="FirstParagraph"/>
      </w:pPr>
      <w:r>
        <w:t xml:space="preserve">A Comprehensive Seminar on Professional Language Services, Legal Frameworks, and Cultural Nuances.</w:t>
      </w:r>
    </w:p>
    <w:p>
      <w:pPr>
        <w:pStyle w:val="BodyText"/>
      </w:pPr>
      <w:r>
        <w:rPr>
          <w:bCs/>
          <w:b/>
        </w:rPr>
        <w:t xml:space="preserve">Presentation Focus:</w:t>
      </w:r>
      <w:r>
        <w:t xml:space="preserve"> </w:t>
      </w:r>
      <w:r>
        <w:t xml:space="preserve">Translator Interpreter Roles | Belgium Brussels Context</w:t>
      </w:r>
    </w:p>
    <w:p>
      <w:pPr>
        <w:pStyle w:val="BodyText"/>
      </w:pPr>
      <w:r>
        <w:rPr>
          <w:bCs/>
          <w:b/>
        </w:rPr>
        <w:t xml:space="preserve">Date:</w:t>
      </w:r>
      <w:r>
        <w:t xml:space="preserve"> </w:t>
      </w:r>
      <w:r>
        <w:t xml:space="preserve">October 2023</w:t>
      </w:r>
    </w:p>
    <w:bookmarkEnd w:id="20"/>
    <w:bookmarkEnd w:id="21"/>
    <w:bookmarkEnd w:id="22"/>
    <w:bookmarkStart w:id="24" w:name="slide-2"/>
    <w:bookmarkStart w:id="23" w:name="Xd10b8789c82b95205200695433028d1078c7ae2"/>
    <w:p>
      <w:pPr>
        <w:pStyle w:val="Heading1"/>
      </w:pPr>
      <w:r>
        <w:t xml:space="preserve">The Unique Linguistic Ecosystem of Belgium Brussels</w:t>
      </w:r>
    </w:p>
    <w:p>
      <w:pPr>
        <w:pStyle w:val="FirstParagraph"/>
      </w:pPr>
      <w:r>
        <w:rPr>
          <w:bCs/>
          <w:b/>
        </w:rPr>
        <w:t xml:space="preserve">Welcome and Context Setting:</w:t>
      </w:r>
    </w:p>
    <w:p>
      <w:pPr>
        <w:numPr>
          <w:ilvl w:val="0"/>
          <w:numId w:val="1001"/>
        </w:numPr>
        <w:pStyle w:val="Compact"/>
      </w:pPr>
      <w:r>
        <w:rPr>
          <w:bCs/>
          <w:b/>
        </w:rPr>
        <w:t xml:space="preserve">A Global Hub:</w:t>
      </w:r>
      <w:r>
        <w:t xml:space="preserve"> </w:t>
      </w:r>
      <w:r>
        <w:t xml:space="preserve">Brussels is not merely the capital of Belgium; it is the de facto capital of the European Union. This status transforms the city into a critical intersection for international diplomacy, law, trade, and human rights.</w:t>
      </w:r>
    </w:p>
    <w:p>
      <w:pPr>
        <w:numPr>
          <w:ilvl w:val="0"/>
          <w:numId w:val="1001"/>
        </w:numPr>
        <w:pStyle w:val="Compact"/>
      </w:pPr>
      <w:r>
        <w:rPr>
          <w:bCs/>
          <w:b/>
        </w:rPr>
        <w:t xml:space="preserve">Linguistic Complexity:</w:t>
      </w:r>
      <w:r>
        <w:t xml:space="preserve"> </w:t>
      </w:r>
      <w:r>
        <w:t xml:space="preserve">Belgium officially recognizes three national languages: Dutch (Flemish), French (Walloon), and German. However, Brussels is a distinct bilingual region where both Dutch and French are official languages. In practice, however, Brussels operates as a hyper-multilingual megacity.</w:t>
      </w:r>
    </w:p>
    <w:p>
      <w:pPr>
        <w:numPr>
          <w:ilvl w:val="0"/>
          <w:numId w:val="1001"/>
        </w:numPr>
        <w:pStyle w:val="Compact"/>
      </w:pPr>
      <w:r>
        <w:rPr>
          <w:bCs/>
          <w:b/>
        </w:rPr>
        <w:t xml:space="preserve">The Role of the Translator Interpreter:</w:t>
      </w:r>
      <w:r>
        <w:t xml:space="preserve"> </w:t>
      </w:r>
      <w:r>
        <w:t xml:space="preserve">In such a dense linguistic environment, the demand for professional</w:t>
      </w:r>
      <w:r>
        <w:t xml:space="preserve"> </w:t>
      </w:r>
      <w:r>
        <w:rPr>
          <w:iCs/>
          <w:i/>
        </w:rPr>
        <w:t xml:space="preserve">Translator Interpreter</w:t>
      </w:r>
      <w:r>
        <w:t xml:space="preserve"> </w:t>
      </w:r>
      <w:r>
        <w:t xml:space="preserve">services is exponentially higher than in monolingual nations. These professionals are not just language converters; they are cultural brokers essential for the functioning of democratic institutions and international business.</w:t>
      </w:r>
    </w:p>
    <w:bookmarkEnd w:id="23"/>
    <w:bookmarkEnd w:id="24"/>
    <w:bookmarkStart w:id="28" w:name="slide-3"/>
    <w:bookmarkStart w:id="27" w:name="Xe630cb36c1705fe4b103ae46e961c10a072787a"/>
    <w:p>
      <w:pPr>
        <w:pStyle w:val="Heading1"/>
      </w:pPr>
      <w:r>
        <w:t xml:space="preserve">Differentiating Translation vs. Interpretation</w:t>
      </w:r>
    </w:p>
    <w:p>
      <w:pPr>
        <w:pStyle w:val="FirstParagraph"/>
      </w:pPr>
      <w:r>
        <w:rPr>
          <w:bCs/>
          <w:b/>
        </w:rPr>
        <w:t xml:space="preserve">The Core Distinction in Brussels:</w:t>
      </w:r>
    </w:p>
    <w:bookmarkStart w:id="25" w:name="written-translation"/>
    <w:p>
      <w:pPr>
        <w:pStyle w:val="Heading3"/>
      </w:pPr>
      <w:r>
        <w:t xml:space="preserve">Written Translation</w:t>
      </w:r>
    </w:p>
    <w:p>
      <w:pPr>
        <w:pStyle w:val="FirstParagraph"/>
      </w:pPr>
      <w:r>
        <w:rPr>
          <w:bCs/>
          <w:b/>
        </w:rPr>
        <w:t xml:space="preserve">The Translator's Domain:</w:t>
      </w:r>
    </w:p>
    <w:p>
      <w:pPr>
        <w:numPr>
          <w:ilvl w:val="0"/>
          <w:numId w:val="1002"/>
        </w:numPr>
        <w:pStyle w:val="Compact"/>
      </w:pPr>
      <w:r>
        <w:t xml:space="preserve">Involves converting written text from a source language into a target language.</w:t>
      </w:r>
    </w:p>
    <w:p>
      <w:pPr>
        <w:numPr>
          <w:ilvl w:val="0"/>
          <w:numId w:val="1002"/>
        </w:numPr>
        <w:pStyle w:val="Compact"/>
      </w:pPr>
      <w:r>
        <w:rPr>
          <w:bCs/>
          <w:b/>
        </w:rPr>
        <w:t xml:space="preserve">Critical in Brussels for:</w:t>
      </w:r>
    </w:p>
    <w:p>
      <w:pPr>
        <w:numPr>
          <w:ilvl w:val="0"/>
          <w:numId w:val="1002"/>
        </w:numPr>
        <w:pStyle w:val="Compact"/>
      </w:pPr>
      <w:r>
        <w:t xml:space="preserve">Negotiating legislative texts of the EU (which must be authentic in 24 languages).</w:t>
      </w:r>
    </w:p>
    <w:p>
      <w:pPr>
        <w:numPr>
          <w:ilvl w:val="0"/>
          <w:numId w:val="1002"/>
        </w:numPr>
        <w:pStyle w:val="Compact"/>
      </w:pPr>
      <w:r>
        <w:t xml:space="preserve">Drafting legal contracts, medical records, and technical manuals.</w:t>
      </w:r>
    </w:p>
    <w:p>
      <w:pPr>
        <w:numPr>
          <w:ilvl w:val="0"/>
          <w:numId w:val="1002"/>
        </w:numPr>
        <w:pStyle w:val="Compact"/>
      </w:pPr>
      <w:r>
        <w:rPr>
          <w:iCs/>
          <w:i/>
        </w:rPr>
        <w:t xml:space="preserve">Note on Accuracy:</w:t>
      </w:r>
      <w:r>
        <w:t xml:space="preserve"> </w:t>
      </w:r>
      <w:r>
        <w:t xml:space="preserve">In Belgium Brussels, translation often requires "legalization" or sworn certification to be valid in court proceedings.</w:t>
      </w:r>
    </w:p>
    <w:bookmarkEnd w:id="25"/>
    <w:bookmarkStart w:id="26" w:name="synchronous-interpretation"/>
    <w:p>
      <w:pPr>
        <w:pStyle w:val="Heading3"/>
      </w:pPr>
      <w:r>
        <w:t xml:space="preserve">Synchronous Interpretation</w:t>
      </w:r>
    </w:p>
    <w:p>
      <w:pPr>
        <w:pStyle w:val="FirstParagraph"/>
      </w:pPr>
      <w:r>
        <w:rPr>
          <w:bCs/>
          <w:b/>
        </w:rPr>
        <w:t xml:space="preserve">The Interpreter's Domain:</w:t>
      </w:r>
    </w:p>
    <w:p>
      <w:pPr>
        <w:numPr>
          <w:ilvl w:val="0"/>
          <w:numId w:val="1003"/>
        </w:numPr>
        <w:pStyle w:val="Compact"/>
      </w:pPr>
      <w:r>
        <w:t xml:space="preserve">Involves the oral or sign language conversion of speech in real-time.</w:t>
      </w:r>
    </w:p>
    <w:p>
      <w:pPr>
        <w:numPr>
          <w:ilvl w:val="0"/>
          <w:numId w:val="1003"/>
        </w:numPr>
        <w:pStyle w:val="Compact"/>
      </w:pPr>
      <w:r>
        <w:rPr>
          <w:bCs/>
          <w:b/>
        </w:rPr>
        <w:t xml:space="preserve">Critical in Brussels for:</w:t>
      </w:r>
    </w:p>
    <w:p>
      <w:pPr>
        <w:numPr>
          <w:ilvl w:val="0"/>
          <w:numId w:val="1003"/>
        </w:numPr>
        <w:pStyle w:val="Compact"/>
      </w:pPr>
      <w:r>
        <w:t xml:space="preserve">Eurosummits, parliamentary debates, and high-level diplomatic negotiations.</w:t>
      </w:r>
    </w:p>
    <w:p>
      <w:pPr>
        <w:numPr>
          <w:ilvl w:val="0"/>
          <w:numId w:val="1003"/>
        </w:numPr>
        <w:pStyle w:val="Compact"/>
      </w:pPr>
      <w:r>
        <w:t xml:space="preserve">Court hearings involving non-native speakers or defendants who do not speak Dutch or French.</w:t>
      </w:r>
    </w:p>
    <w:p>
      <w:pPr>
        <w:numPr>
          <w:ilvl w:val="0"/>
          <w:numId w:val="1003"/>
        </w:numPr>
        <w:pStyle w:val="Compact"/>
      </w:pPr>
      <w:r>
        <w:rPr>
          <w:iCs/>
          <w:i/>
        </w:rPr>
        <w:t xml:space="preserve">Note on Pressure:</w:t>
      </w:r>
      <w:r>
        <w:t xml:space="preserve"> </w:t>
      </w:r>
      <w:r>
        <w:t xml:space="preserve">Simultaneous interpreters in Brussels often work in soundproof booths, processing multiple languages per hour under extreme cognitive load.</w:t>
      </w:r>
    </w:p>
    <w:bookmarkEnd w:id="26"/>
    <w:bookmarkEnd w:id="27"/>
    <w:bookmarkEnd w:id="28"/>
    <w:bookmarkStart w:id="30" w:name="slide-4"/>
    <w:bookmarkStart w:id="29" w:name="the-legal-mandate-in-belgium-brussels"/>
    <w:p>
      <w:pPr>
        <w:pStyle w:val="Heading1"/>
      </w:pPr>
      <w:r>
        <w:t xml:space="preserve">The Legal Mandate in Belgium Brussels</w:t>
      </w:r>
    </w:p>
    <w:p>
      <w:pPr>
        <w:pStyle w:val="FirstParagraph"/>
      </w:pPr>
      <w:r>
        <w:rPr>
          <w:bCs/>
          <w:b/>
        </w:rPr>
        <w:t xml:space="preserve">Why Regulation Matters:</w:t>
      </w:r>
    </w:p>
    <w:p>
      <w:pPr>
        <w:numPr>
          <w:ilvl w:val="0"/>
          <w:numId w:val="1004"/>
        </w:numPr>
        <w:pStyle w:val="Compact"/>
      </w:pPr>
      <w:r>
        <w:rPr>
          <w:bCs/>
          <w:b/>
        </w:rPr>
        <w:t xml:space="preserve">The Federal Public Service Justice:</w:t>
      </w:r>
      <w:r>
        <w:t xml:space="preserve"> </w:t>
      </w:r>
      <w:r>
        <w:t xml:space="preserve">In Belgium, court interpreters and sworn translators are regulated by the state. To operate as an official</w:t>
      </w:r>
      <w:r>
        <w:t xml:space="preserve"> </w:t>
      </w:r>
      <w:r>
        <w:rPr>
          <w:iCs/>
          <w:i/>
        </w:rPr>
        <w:t xml:space="preserve">Translator Interpreter</w:t>
      </w:r>
      <w:r>
        <w:t xml:space="preserve">, one must often be listed on a special roster maintained by the Court of Appeal.</w:t>
      </w:r>
    </w:p>
    <w:p>
      <w:pPr>
        <w:numPr>
          <w:ilvl w:val="0"/>
          <w:numId w:val="1004"/>
        </w:numPr>
        <w:pStyle w:val="Compact"/>
      </w:pPr>
      <w:r>
        <w:rPr>
          <w:bCs/>
          <w:b/>
        </w:rPr>
        <w:t xml:space="preserve">Eurointerpréteurs:</w:t>
      </w:r>
      <w:r>
        <w:t xml:space="preserve"> </w:t>
      </w:r>
      <w:r>
        <w:t xml:space="preserve">For EU institutions in Brussels, there is a specific classification for "Eurotranslators" and "Eurointerpreters." These professionals are subject to rigorous testing by the European Commission’s Directorate-General for Interpretation (DG SIMPO).</w:t>
      </w:r>
    </w:p>
    <w:p>
      <w:pPr>
        <w:numPr>
          <w:ilvl w:val="0"/>
          <w:numId w:val="1004"/>
        </w:numPr>
        <w:pStyle w:val="Compact"/>
      </w:pPr>
      <w:r>
        <w:rPr>
          <w:bCs/>
          <w:b/>
        </w:rPr>
        <w:t xml:space="preserve">Linguistic Rights of Citizens:</w:t>
      </w:r>
      <w:r>
        <w:t xml:space="preserve"> </w:t>
      </w:r>
      <w:r>
        <w:t xml:space="preserve">Belgian law guarantees citizens the right to use their official language in administrative proceedings within their linguistic region. In Brussels, this means a citizen can interact with authorities in either Dutch or French. However, when dealing with non-official languages (e.g., Arabic, English, Spanish), a professional</w:t>
      </w:r>
      <w:r>
        <w:t xml:space="preserve"> </w:t>
      </w:r>
      <w:r>
        <w:rPr>
          <w:iCs/>
          <w:i/>
        </w:rPr>
        <w:t xml:space="preserve">Translator Interpreter</w:t>
      </w:r>
      <w:r>
        <w:t xml:space="preserve"> </w:t>
      </w:r>
      <w:r>
        <w:t xml:space="preserve">is mandatory to ensure due process and fair trial rights.</w:t>
      </w:r>
    </w:p>
    <w:bookmarkEnd w:id="29"/>
    <w:bookmarkEnd w:id="30"/>
    <w:bookmarkStart w:id="32" w:name="slide-5"/>
    <w:bookmarkStart w:id="31" w:name="the-economic-engine-of-language-services"/>
    <w:p>
      <w:pPr>
        <w:pStyle w:val="Heading1"/>
      </w:pPr>
      <w:r>
        <w:t xml:space="preserve">The Economic Engine of Language Services</w:t>
      </w:r>
    </w:p>
    <w:p>
      <w:pPr>
        <w:pStyle w:val="FirstParagraph"/>
      </w:pPr>
      <w:r>
        <w:rPr>
          <w:bCs/>
          <w:b/>
        </w:rPr>
        <w:t xml:space="preserve">A Vital Industry in the Capital:</w:t>
      </w:r>
    </w:p>
    <w:p>
      <w:pPr>
        <w:numPr>
          <w:ilvl w:val="0"/>
          <w:numId w:val="1005"/>
        </w:numPr>
        <w:pStyle w:val="Compact"/>
      </w:pPr>
      <w:r>
        <w:rPr>
          <w:bCs/>
          <w:b/>
        </w:rPr>
        <w:t xml:space="preserve">Market Size:</w:t>
      </w:r>
      <w:r>
        <w:t xml:space="preserve"> </w:t>
      </w:r>
      <w:r>
        <w:t xml:space="preserve">The language services market in Brussels is valued in the hundreds of millions of Euros annually. This includes translation agencies, freelance linguists, and interpretation bureaus.</w:t>
      </w:r>
    </w:p>
    <w:p>
      <w:pPr>
        <w:numPr>
          <w:ilvl w:val="0"/>
          <w:numId w:val="1005"/>
        </w:numPr>
        <w:pStyle w:val="Compact"/>
      </w:pPr>
      <w:r>
        <w:rPr>
          <w:bCs/>
          <w:b/>
        </w:rPr>
        <w:t xml:space="preserve">Diversity of Clients:</w:t>
      </w:r>
    </w:p>
    <w:p>
      <w:pPr>
        <w:numPr>
          <w:ilvl w:val="1"/>
          <w:numId w:val="1006"/>
        </w:numPr>
        <w:pStyle w:val="Compact"/>
      </w:pPr>
      <w:r>
        <w:rPr>
          <w:iCs/>
          <w:i/>
        </w:rPr>
        <w:t xml:space="preserve">Institutions:</w:t>
      </w:r>
      <w:r>
        <w:t xml:space="preserve"> </w:t>
      </w:r>
      <w:r>
        <w:t xml:space="preserve">The European Parliament, the Council of the EU, NATO (whose secretariat is in Brussels), and various non-governmental organizations (NGOs).</w:t>
      </w:r>
    </w:p>
    <w:p>
      <w:pPr>
        <w:numPr>
          <w:ilvl w:val="1"/>
          <w:numId w:val="1006"/>
        </w:numPr>
        <w:pStyle w:val="Compact"/>
      </w:pPr>
      <w:r>
        <w:rPr>
          <w:iCs/>
          <w:i/>
        </w:rPr>
        <w:t xml:space="preserve">Private Sector:</w:t>
      </w:r>
    </w:p>
    <w:p>
      <w:pPr>
        <w:numPr>
          <w:ilvl w:val="0"/>
          <w:numId w:val="1005"/>
        </w:numPr>
        <w:pStyle w:val="Compact"/>
      </w:pPr>
      <w:r>
        <w:rPr>
          <w:bCs/>
          <w:b/>
        </w:rPr>
        <w:t xml:space="preserve">Economic Stability:</w:t>
      </w:r>
      <w:r>
        <w:t xml:space="preserve">The demand for a skilled</w:t>
      </w:r>
    </w:p>
    <w:bookmarkEnd w:id="31"/>
    <w:bookmarkEnd w:id="32"/>
    <w:bookmarkStart w:id="34" w:name="slide-6"/>
    <w:bookmarkStart w:id="33" w:name="X75daa985a4d81fb9128f22bc8573801392cbdb6"/>
    <w:p>
      <w:pPr>
        <w:pStyle w:val="Heading1"/>
      </w:pPr>
      <w:r>
        <w:t xml:space="preserve">Ethical Challenges and Professional Standards</w:t>
      </w:r>
    </w:p>
    <w:p>
      <w:pPr>
        <w:pStyle w:val="FirstParagraph"/>
      </w:pPr>
      <w:r>
        <w:rPr>
          <w:bCs/>
          <w:b/>
        </w:rPr>
        <w:t xml:space="preserve">Maintaining Integrity in Brussels:</w:t>
      </w:r>
    </w:p>
    <w:p>
      <w:pPr>
        <w:numPr>
          <w:ilvl w:val="0"/>
          <w:numId w:val="1007"/>
        </w:numPr>
        <w:pStyle w:val="Compact"/>
      </w:pPr>
      <w:r>
        <w:rPr>
          <w:bCs/>
          <w:b/>
        </w:rPr>
        <w:t xml:space="preserve">Confidentiality:</w:t>
      </w:r>
    </w:p>
    <w:p>
      <w:pPr>
        <w:numPr>
          <w:ilvl w:val="0"/>
          <w:numId w:val="1007"/>
        </w:numPr>
        <w:pStyle w:val="Compact"/>
      </w:pPr>
      <w:r>
        <w:rPr>
          <w:bCs/>
          <w:b/>
        </w:rPr>
        <w:t xml:space="preserve">Impartiality:</w:t>
      </w:r>
    </w:p>
    <w:p>
      <w:pPr>
        <w:numPr>
          <w:ilvl w:val="0"/>
          <w:numId w:val="1007"/>
        </w:numPr>
        <w:pStyle w:val="Compact"/>
      </w:pPr>
      <w:r>
        <w:rPr>
          <w:bCs/>
          <w:b/>
        </w:rPr>
        <w:t xml:space="preserve">Cognitive Load and Burnout:</w:t>
      </w:r>
      <w:r>
        <w:t xml:space="preserve">The constant switching between Dutch, French, English, and other languages can lead to rapid fatigue. Ethical practice dictates manageable working hours. In Brussels’ EU institutions, interpreters often work in relays of 20-30 minutes to maintain peak accuracy.</w:t>
      </w:r>
    </w:p>
    <w:p>
      <w:pPr>
        <w:numPr>
          <w:ilvl w:val="0"/>
          <w:numId w:val="1007"/>
        </w:numPr>
        <w:pStyle w:val="Compact"/>
      </w:pPr>
      <w:r>
        <w:rPr>
          <w:bCs/>
          <w:b/>
        </w:rPr>
        <w:t xml:space="preserve">Handling Dialects and Accents:</w:t>
      </w:r>
    </w:p>
    <w:bookmarkEnd w:id="33"/>
    <w:bookmarkEnd w:id="34"/>
    <w:bookmarkStart w:id="36" w:name="slide-7"/>
    <w:bookmarkStart w:id="35" w:name="the-role-of-ai-and-technology"/>
    <w:p>
      <w:pPr>
        <w:pStyle w:val="Heading1"/>
      </w:pPr>
      <w:r>
        <w:t xml:space="preserve">The Role of AI and Technology</w:t>
      </w:r>
    </w:p>
    <w:p>
      <w:pPr>
        <w:pStyle w:val="FirstParagraph"/>
      </w:pPr>
      <w:r>
        <w:rPr>
          <w:bCs/>
          <w:b/>
        </w:rPr>
        <w:t xml:space="preserve">Navigating the Future in Belgium Brussels:</w:t>
      </w:r>
    </w:p>
    <w:p>
      <w:pPr>
        <w:numPr>
          <w:ilvl w:val="0"/>
          <w:numId w:val="1008"/>
        </w:numPr>
        <w:pStyle w:val="Compact"/>
      </w:pPr>
      <w:r>
        <w:rPr>
          <w:bCs/>
          <w:b/>
        </w:rPr>
        <w:t xml:space="preserve">Machine Translation (MT):</w:t>
      </w:r>
    </w:p>
    <w:p>
      <w:pPr>
        <w:numPr>
          <w:ilvl w:val="0"/>
          <w:numId w:val="1008"/>
        </w:numPr>
        <w:pStyle w:val="Compact"/>
      </w:pPr>
      <w:r>
        <w:rPr>
          <w:bCs/>
          <w:b/>
        </w:rPr>
        <w:t xml:space="preserve">The Human-in-the-Loop:</w:t>
      </w:r>
    </w:p>
    <w:p>
      <w:pPr>
        <w:numPr>
          <w:ilvl w:val="0"/>
          <w:numId w:val="1008"/>
        </w:numPr>
        <w:pStyle w:val="Compact"/>
      </w:pPr>
      <w:r>
        <w:rPr>
          <w:bCs/>
          <w:b/>
        </w:rPr>
        <w:t xml:space="preserve">Remote Interpretation:</w:t>
      </w:r>
    </w:p>
    <w:p>
      <w:pPr>
        <w:numPr>
          <w:ilvl w:val="0"/>
          <w:numId w:val="1008"/>
        </w:numPr>
        <w:pStyle w:val="Compact"/>
      </w:pPr>
      <w:r>
        <w:rPr>
          <w:bCs/>
          <w:b/>
        </w:rPr>
        <w:t xml:space="preserve">Adaptation:</w:t>
      </w:r>
    </w:p>
    <w:bookmarkEnd w:id="35"/>
    <w:bookmarkEnd w:id="36"/>
    <w:bookmarkStart w:id="38" w:name="slide-8"/>
    <w:bookmarkStart w:id="37" w:name="Xc4cf15bee183fa0ddd8eeff3bf3cc5bfe8e5061"/>
    <w:p>
      <w:pPr>
        <w:pStyle w:val="Heading1"/>
      </w:pPr>
      <w:r>
        <w:t xml:space="preserve">Becoming a Professional in Belgium Brussels</w:t>
      </w:r>
    </w:p>
    <w:p>
      <w:pPr>
        <w:pStyle w:val="FirstParagraph"/>
      </w:pPr>
      <w:r>
        <w:rPr>
          <w:bCs/>
          <w:b/>
        </w:rPr>
        <w:t xml:space="preserve">Roadmap to Success:</w:t>
      </w:r>
    </w:p>
    <w:p>
      <w:pPr>
        <w:numPr>
          <w:ilvl w:val="0"/>
          <w:numId w:val="1009"/>
        </w:numPr>
        <w:pStyle w:val="Compact"/>
      </w:pPr>
      <w:r>
        <w:rPr>
          <w:bCs/>
          <w:b/>
        </w:rPr>
        <w:t xml:space="preserve">Educational Requirements:</w:t>
      </w:r>
    </w:p>
    <w:p>
      <w:pPr>
        <w:numPr>
          <w:ilvl w:val="0"/>
          <w:numId w:val="1009"/>
        </w:numPr>
        <w:pStyle w:val="Compact"/>
      </w:pPr>
      <w:r>
        <w:rPr>
          <w:bCs/>
          <w:b/>
        </w:rPr>
        <w:t xml:space="preserve">Linguistic Combinations:</w:t>
      </w:r>
    </w:p>
    <w:p>
      <w:pPr>
        <w:numPr>
          <w:ilvl w:val="0"/>
          <w:numId w:val="1009"/>
        </w:numPr>
        <w:pStyle w:val="Compact"/>
      </w:pPr>
      <w:r>
        <w:rPr>
          <w:bCs/>
          <w:b/>
        </w:rPr>
        <w:t xml:space="preserve">Certification:</w:t>
      </w:r>
    </w:p>
    <w:p>
      <w:pPr>
        <w:numPr>
          <w:ilvl w:val="1"/>
          <w:numId w:val="1010"/>
        </w:numPr>
        <w:pStyle w:val="Compact"/>
      </w:pPr>
      <w:r>
        <w:rPr>
          <w:iCs/>
          <w:i/>
        </w:rPr>
        <w:t xml:space="preserve">National Level:</w:t>
      </w:r>
    </w:p>
    <w:p>
      <w:pPr>
        <w:numPr>
          <w:ilvl w:val="1"/>
          <w:numId w:val="1010"/>
        </w:numPr>
        <w:pStyle w:val="Compact"/>
      </w:pPr>
      <w:r>
        <w:rPr>
          <w:iCs/>
          <w:i/>
        </w:rPr>
        <w:t xml:space="preserve">EU Level:</w:t>
      </w:r>
    </w:p>
    <w:p>
      <w:pPr>
        <w:numPr>
          <w:ilvl w:val="1"/>
          <w:numId w:val="1010"/>
        </w:numPr>
        <w:pStyle w:val="Compact"/>
      </w:pPr>
      <w:r>
        <w:rPr>
          <w:iCs/>
          <w:i/>
        </w:rPr>
        <w:t xml:space="preserve">Affiliations:</w:t>
      </w:r>
    </w:p>
    <w:p>
      <w:pPr>
        <w:numPr>
          <w:ilvl w:val="0"/>
          <w:numId w:val="1009"/>
        </w:numPr>
        <w:pStyle w:val="Compact"/>
      </w:pPr>
      <w:r>
        <w:rPr>
          <w:bCs/>
          <w:b/>
        </w:rPr>
        <w:t xml:space="preserve">Continuous Training:</w:t>
      </w:r>
    </w:p>
    <w:bookmarkEnd w:id="37"/>
    <w:bookmarkEnd w:id="38"/>
    <w:bookmarkStart w:id="40" w:name="slide-9"/>
    <w:bookmarkStart w:id="39" w:name="conclusion-the-bridge-builders-of-europe"/>
    <w:p>
      <w:pPr>
        <w:pStyle w:val="Heading1"/>
      </w:pPr>
      <w:r>
        <w:t xml:space="preserve">Conclusion: The Bridge Builders of Europe</w:t>
      </w:r>
    </w:p>
    <w:p>
      <w:pPr>
        <w:pStyle w:val="FirstParagraph"/>
      </w:pPr>
      <w:r>
        <w:rPr>
          <w:bCs/>
          <w:b/>
        </w:rPr>
        <w:t xml:space="preserve">Synthesis:</w:t>
      </w:r>
    </w:p>
    <w:p>
      <w:pPr>
        <w:numPr>
          <w:ilvl w:val="0"/>
          <w:numId w:val="1011"/>
        </w:numPr>
        <w:pStyle w:val="Compact"/>
      </w:pPr>
      <w:r>
        <w:t xml:space="preserve">The role of the Translator Interpreter in Belgium Brussels is far more than a linguistic service; it is a pillar of democracy, justice, and international cooperation.</w:t>
      </w:r>
    </w:p>
    <w:p>
      <w:pPr>
        <w:numPr>
          <w:ilvl w:val="0"/>
          <w:numId w:val="1011"/>
        </w:numPr>
        <w:pStyle w:val="Compact"/>
      </w:pPr>
      <w:r>
        <w:t xml:space="preserve">In a city defined by its multilingualism and multicultural diversity, these professionals ensure that voices are heard accurately and intentions are understood clearly.</w:t>
      </w:r>
    </w:p>
    <w:p>
      <w:pPr>
        <w:numPr>
          <w:ilvl w:val="0"/>
          <w:numId w:val="1011"/>
        </w:numPr>
        <w:pStyle w:val="Compact"/>
      </w:pPr>
      <w:r>
        <w:rPr>
          <w:bCs/>
          <w:b/>
        </w:rPr>
        <w:t xml:space="preserve">The Future:</w:t>
      </w:r>
    </w:p>
    <w:p>
      <w:pPr>
        <w:pStyle w:val="FirstParagraph"/>
      </w:pPr>
      <w:r>
        <w:rPr>
          <w:bCs/>
          <w:b/>
        </w:rPr>
        <w:t xml:space="preserve">Thank You for Your Attention</w:t>
      </w:r>
    </w:p>
    <w:p>
      <w:pPr>
        <w:pStyle w:val="BodyText"/>
      </w:pPr>
      <w:r>
        <w:t xml:space="preserve">We welcome your questions and discussions on the future of language services in our capital.</w:t>
      </w:r>
    </w:p>
    <w:bookmarkEnd w:id="39"/>
    <w:bookmarkEnd w:id="40"/>
    <w:bookmarkStart w:id="42" w:name="slide-10"/>
    <w:bookmarkStart w:id="41" w:name="references-and-further-reading"/>
    <w:p>
      <w:pPr>
        <w:pStyle w:val="Heading1"/>
      </w:pPr>
      <w:r>
        <w:t xml:space="preserve">References and Further Reading</w:t>
      </w:r>
    </w:p>
    <w:p>
      <w:pPr>
        <w:numPr>
          <w:ilvl w:val="0"/>
          <w:numId w:val="1012"/>
        </w:numPr>
        <w:pStyle w:val="Compact"/>
      </w:pPr>
      <w:r>
        <w:rPr>
          <w:bCs/>
          <w:b/>
        </w:rPr>
        <w:t xml:space="preserve">The European Commission:</w:t>
      </w:r>
    </w:p>
    <w:p>
      <w:pPr>
        <w:numPr>
          <w:ilvl w:val="0"/>
          <w:numId w:val="1012"/>
        </w:numPr>
        <w:pStyle w:val="Compact"/>
      </w:pPr>
      <w:r>
        <w:rPr>
          <w:bCs/>
          <w:b/>
        </w:rPr>
        <w:t xml:space="preserve">Federal Public Service Justice Belgium:</w:t>
      </w:r>
    </w:p>
    <w:p>
      <w:pPr>
        <w:numPr>
          <w:ilvl w:val="0"/>
          <w:numId w:val="1012"/>
        </w:numPr>
        <w:pStyle w:val="Compact"/>
      </w:pPr>
      <w:r>
        <w:rPr>
          <w:bCs/>
          <w:b/>
        </w:rPr>
        <w:t xml:space="preserve">Babel Centre:</w:t>
      </w:r>
    </w:p>
    <w:p>
      <w:pPr>
        <w:numPr>
          <w:ilvl w:val="0"/>
          <w:numId w:val="1012"/>
        </w:numPr>
      </w:pPr>
      <w:r>
        <w:rPr>
          <w:bCs/>
          <w:b/>
        </w:rPr>
        <w:t xml:space="preserve">Gile, D.</w:t>
      </w:r>
    </w:p>
    <w:p>
      <w:pPr>
        <w:numPr>
          <w:ilvl w:val="0"/>
          <w:numId w:val="1000"/>
        </w:numPr>
      </w:pPr>
      <w:r>
        <w:t xml:space="preserve">For more information on specific certification processes in Belgium Brussels, please visit the official portals of the European Commission and the Belgian Ministry of Justice.</w:t>
      </w:r>
    </w:p>
    <w:bookmarkEnd w:id="41"/>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Translator Interpreter Landscape in Belgium Brussels</dc:title>
  <dc:creator/>
  <dc:language>en</dc:language>
  <cp:keywords/>
  <dcterms:created xsi:type="dcterms:W3CDTF">2026-07-29T15:27:07Z</dcterms:created>
  <dcterms:modified xsi:type="dcterms:W3CDTF">2026-07-29T15:27:07Z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