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Australia</w:t>
      </w:r>
      <w:r>
        <w:t xml:space="preserve"> </w:t>
      </w:r>
      <w:r>
        <w:t xml:space="preserve">Brisbane</w:t>
      </w:r>
    </w:p>
    <w:bookmarkStart w:id="20" w:name="seminar-presentation-slides"/>
    <w:p>
      <w:pPr>
        <w:pStyle w:val="Heading1"/>
      </w:pPr>
      <w:r>
        <w:t xml:space="preserve">Seminar Presentation Slides</w:t>
      </w:r>
    </w:p>
    <w:p>
      <w:pPr>
        <w:pStyle w:val="FirstParagraph"/>
      </w:pPr>
      <w:r>
        <w:rPr>
          <w:bCs/>
          <w:b/>
        </w:rPr>
        <w:t xml:space="preserve">The Role and Evolution of the University Lecturer in Australia Brisbane</w:t>
      </w:r>
    </w:p>
    <w:bookmarkEnd w:id="20"/>
    <w:p>
      <w:pPr>
        <w:pStyle w:val="BodyText"/>
      </w:pPr>
      <w:r>
        <w:t xml:space="preserve">h2 style="color: #e74c3c;"&gt;Slide 1: Title Slide</w:t>
      </w:r>
    </w:p>
    <w:p>
      <w:pPr>
        <w:pStyle w:val="BodyText"/>
      </w:pPr>
      <w:r>
        <w:rPr>
          <w:bCs/>
          <w:b/>
        </w:rPr>
        <w:t xml:space="preserve">Presentation Topic:</w:t>
      </w:r>
      <w:r>
        <w:t xml:space="preserve">The University Lecturer in Australia Brisbane</w:t>
      </w:r>
    </w:p>
    <w:p>
      <w:pPr>
        <w:pStyle w:val="BodyText"/>
      </w:pPr>
      <w:r>
        <w:rPr>
          <w:bCs/>
          <w:b/>
        </w:rPr>
        <w:t xml:space="preserve">Date:</w:t>
      </w:r>
      <w:r>
        <w:t xml:space="preserve"> </w:t>
      </w:r>
      <w:r>
        <w:t xml:space="preserve">October 20, 2023</w:t>
      </w:r>
    </w:p>
    <w:p>
      <w:pPr>
        <w:pStyle w:val="BodyText"/>
      </w:pPr>
      <w:r>
        <w:rPr>
          <w:iCs/>
          <w:i/>
        </w:rPr>
        <w:t xml:space="preserve">A comprehensive analysis of the academic landscape, pedagogical shifts, and professional challenges facing university lecturers within the specific context of Brisbane's higher education sector.</w:t>
      </w:r>
    </w:p>
    <w:p>
      <w:pPr>
        <w:pStyle w:val="BodyText"/>
      </w:pPr>
      <w:r>
        <w:t xml:space="preserve">h2 style="color: #e74c3c;"&gt;Slide 2: Introduction to the Context</w:t>
      </w:r>
    </w:p>
    <w:p>
      <w:pPr>
        <w:pStyle w:val="BodyText"/>
      </w:pPr>
      <w:r>
        <w:t xml:space="preserve">Brisbane is rapidly emerging as a premier global education hub in Australia. Home to prestigious institutions such as the University of Queensland, Queensland University of Technology, and Griffith University, the city offers a unique blend of research excellence and industry connectivity.</w:t>
      </w:r>
    </w:p>
    <w:p>
      <w:pPr>
        <w:pStyle w:val="BodyText"/>
      </w:pPr>
      <w:r>
        <w:t xml:space="preserve">This presentation focuses on the critical role of the</w:t>
      </w:r>
      <w:r>
        <w:t xml:space="preserve"> </w:t>
      </w:r>
      <w:r>
        <w:rPr>
          <w:bCs/>
          <w:b/>
        </w:rPr>
        <w:t xml:space="preserve">University Lecturer</w:t>
      </w:r>
      <w:r>
        <w:t xml:space="preserve">. In this context, a lecturer is not merely an instructor but a multifaceted professional responsible for curriculum design, rigorous academic research, student mentorship, and administrative governance. Understanding the nuances of this role within</w:t>
      </w:r>
      <w:r>
        <w:t xml:space="preserve"> </w:t>
      </w:r>
      <w:r>
        <w:rPr>
          <w:bCs/>
          <w:b/>
        </w:rPr>
        <w:t xml:space="preserve">Australia Brisbane</w:t>
      </w:r>
      <w:r>
        <w:t xml:space="preserve"> </w:t>
      </w:r>
      <w:r>
        <w:t xml:space="preserve">requires an examination of local regulatory frameworks and cultural expectations.</w:t>
      </w:r>
    </w:p>
    <w:p>
      <w:pPr>
        <w:pStyle w:val="BodyText"/>
      </w:pPr>
      <w:r>
        <w:t xml:space="preserve">h2 style="color: #e74c3c;"&gt;Slide 3: The Dual Mandate: Teaching and Research</w:t>
      </w:r>
    </w:p>
    <w:p>
      <w:pPr>
        <w:pStyle w:val="BodyText"/>
      </w:pPr>
      <w:r>
        <w:t xml:space="preserve">The modern University Lecturer in</w:t>
      </w:r>
      <w:r>
        <w:t xml:space="preserve"> </w:t>
      </w:r>
      <w:r>
        <w:rPr>
          <w:bCs/>
          <w:b/>
        </w:rPr>
        <w:t xml:space="preserve">Australia Brisbane</w:t>
      </w:r>
      <w:r>
        <w:t xml:space="preserve"> </w:t>
      </w:r>
      <w:r>
        <w:t xml:space="preserve">operates under a dual mandate. Historically, the role was heavily skewed toward teaching. However, contemporary higher education policy demands a significant balance between pedagogical delivery and high-impact research output.</w:t>
      </w:r>
    </w:p>
    <w:p>
      <w:pPr>
        <w:numPr>
          <w:ilvl w:val="0"/>
          <w:numId w:val="1001"/>
        </w:numPr>
        <w:pStyle w:val="Compact"/>
      </w:pPr>
      <w:r>
        <w:rPr>
          <w:bCs/>
          <w:b/>
        </w:rPr>
        <w:t xml:space="preserve">Teaching Excellence:</w:t>
      </w:r>
      <w:r>
        <w:t xml:space="preserve"> </w:t>
      </w:r>
      <w:r>
        <w:t xml:space="preserve">Lecturers are expected to engage students through active learning methodologies, moving beyond traditional lectures to facilitate seminars and workshops that encourage critical thinking.</w:t>
      </w:r>
    </w:p>
    <w:p>
      <w:pPr>
        <w:numPr>
          <w:ilvl w:val="0"/>
          <w:numId w:val="1001"/>
        </w:numPr>
      </w:pPr>
      <w:r>
        <w:rPr>
          <w:bCs/>
          <w:b/>
        </w:rPr>
        <w:t xml:space="preserve">Research Impact:</w:t>
      </w:r>
    </w:p>
    <w:p>
      <w:pPr>
        <w:numPr>
          <w:ilvl w:val="0"/>
          <w:numId w:val="1000"/>
        </w:numPr>
      </w:pPr>
      <w:r>
        <w:t xml:space="preserve">Institutions in Brisbane are globally ranked. Consequently, University Lecturers must maintain an active research agenda, publishing in high-impact journals and securing competitive grant funding from bodies such as the Australian Research Council (ARC).</w:t>
      </w:r>
    </w:p>
    <w:p>
      <w:pPr>
        <w:pStyle w:val="FirstParagraph"/>
      </w:pPr>
      <w:r>
        <w:t xml:space="preserve">h2 style="color: #e74c3c;"&gt;Slide 4: Regulatory Frameworks and Quality Assurance</w:t>
      </w:r>
    </w:p>
    <w:p>
      <w:pPr>
        <w:pStyle w:val="BodyText"/>
      </w:pPr>
      <w:r>
        <w:t xml:space="preserve">Navigating the academic landscape in</w:t>
      </w:r>
      <w:r>
        <w:t xml:space="preserve"> </w:t>
      </w:r>
      <w:r>
        <w:rPr>
          <w:bCs/>
          <w:b/>
        </w:rPr>
        <w:t xml:space="preserve">Australia Brisbane</w:t>
      </w:r>
      <w:r>
        <w:t xml:space="preserve"> </w:t>
      </w:r>
      <w:r>
        <w:t xml:space="preserve">requires strict adherence to national standards. The University Lecturer must comply with the Teaching and Learning Standards set by the Tertiary Education Quality and Standards Agency (TEQSA). Furthermore, alignment with AQF (Australian Qualifications Framework) levels is mandatory.</w:t>
      </w:r>
    </w:p>
    <w:p>
      <w:pPr>
        <w:pStyle w:val="BodyText"/>
      </w:pPr>
      <w:r>
        <w:t xml:space="preserve">This regulatory environment ensures that degrees awarded in Brisbane are recognized globally. For the lecturer, this means rigorous documentation of learning outcomes, assessment validity, and continuous improvement of teaching practices based on student feedback mechanisms.</w:t>
      </w:r>
    </w:p>
    <w:p>
      <w:pPr>
        <w:pStyle w:val="BodyText"/>
      </w:pPr>
      <w:r>
        <w:t xml:space="preserve">h2 style="color: #e74c3c;"&gt;Slide 5: Indigenous Engagement and Cultural Responsiveness</w:t>
      </w:r>
    </w:p>
    <w:p>
      <w:pPr>
        <w:pStyle w:val="BodyText"/>
      </w:pPr>
      <w:r>
        <w:t xml:space="preserve">A critical aspect of being a University Lecturer in Australia is the imperative to engage with Indigenous knowledge systems. Brisbane, located on Turrbul and Jagera country, places a strong emphasis on reconciliation and cultural inclusivity.</w:t>
      </w:r>
    </w:p>
    <w:p>
      <w:pPr>
        <w:pStyle w:val="BodyText"/>
      </w:pPr>
      <w:r>
        <w:t xml:space="preserve">Lecturers are encouraged, if not required by institutional policy, to integrate Aboriginal and Torres Strait Islander perspectives into their curricula. This goes beyond tokenism; it involves decolonizing the curriculum and ensuring that Indigenous students see themselves represented in higher education materials. Professional development in cultural safety is often a prerequisite for senior academic roles.</w:t>
      </w:r>
    </w:p>
    <w:p>
      <w:pPr>
        <w:pStyle w:val="BodyText"/>
      </w:pPr>
      <w:r>
        <w:t xml:space="preserve">h2 style="color: #e74c3c;"&gt;Slide 6: The Impact of Technology and Digital Transformation</w:t>
      </w:r>
    </w:p>
    <w:p>
      <w:pPr>
        <w:pStyle w:val="BodyText"/>
      </w:pPr>
      <w:r>
        <w:t xml:space="preserve">The pandemic accelerated the digital transformation of education in Brisbane. Today, University Lecturers must be proficient in Learning Management Systems (LMS) such as Canvas or Blackboard.</w:t>
      </w:r>
    </w:p>
    <w:p>
      <w:pPr>
        <w:numPr>
          <w:ilvl w:val="0"/>
          <w:numId w:val="1002"/>
        </w:numPr>
      </w:pPr>
      <w:r>
        <w:rPr>
          <w:bCs/>
          <w:b/>
        </w:rPr>
        <w:t xml:space="preserve">Hybrid Learning:</w:t>
      </w:r>
    </w:p>
    <w:p>
      <w:pPr>
        <w:numPr>
          <w:ilvl w:val="0"/>
          <w:numId w:val="1000"/>
        </w:numPr>
      </w:pPr>
      <w:r>
        <w:t xml:space="preserve">Lecturers are increasingly delivering blended learning environments. This requires technical skill in recording lectures, creating interactive online modules, and utilizing virtual collaboration tools.</w:t>
      </w:r>
    </w:p>
    <w:p>
      <w:pPr>
        <w:numPr>
          <w:ilvl w:val="0"/>
          <w:numId w:val="1002"/>
        </w:numPr>
      </w:pPr>
      <w:r>
        <w:rPr>
          <w:bCs/>
          <w:b/>
        </w:rPr>
        <w:t xml:space="preserve">Data-Driven Instruction:</w:t>
      </w:r>
    </w:p>
    <w:p>
      <w:pPr>
        <w:numPr>
          <w:ilvl w:val="0"/>
          <w:numId w:val="1000"/>
        </w:numPr>
      </w:pPr>
      <w:r>
        <w:t xml:space="preserve">New technologies provide data on student engagement. Lecturers use this analytics-driven approach to identify at-risk students early and intervene with targeted support strategies.</w:t>
      </w:r>
    </w:p>
    <w:p>
      <w:pPr>
        <w:pStyle w:val="FirstParagraph"/>
      </w:pPr>
      <w:r>
        <w:t xml:space="preserve">h2 style="color: #e74c3c;"&gt;Slide 7: Student Wellbeing and Mental Health Support</w:t>
      </w:r>
    </w:p>
    <w:p>
      <w:pPr>
        <w:pStyle w:val="BodyText"/>
      </w:pPr>
      <w:r>
        <w:t xml:space="preserve">The role of the University Lecturer has expanded to include pastoral care. In the competitive environment of Brisbane's universities, student mental health is a paramount concern.</w:t>
      </w:r>
    </w:p>
    <w:p>
      <w:pPr>
        <w:pStyle w:val="BodyText"/>
      </w:pPr>
      <w:r>
        <w:t xml:space="preserve">Lecturers are often the first point of contact for students facing personal or academic difficulties. They must be trained in identifying signs of distress and referring students to professional counseling services within the university. This shift acknowledges that academic success is intrinsically linked to emotional well-being.</w:t>
      </w:r>
    </w:p>
    <w:p>
      <w:pPr>
        <w:pStyle w:val="BodyText"/>
      </w:pPr>
      <w:r>
        <w:t xml:space="preserve">h2 style="color: #e74c3c;"&gt;Slide 8: Industry Engagement and Employability</w:t>
      </w:r>
    </w:p>
    <w:p>
      <w:pPr>
        <w:pStyle w:val="BodyText"/>
      </w:pPr>
      <w:r>
        <w:t xml:space="preserve">Australia's vocational and higher education sectors are tightly integrated. Universities in Brisbane prioritize graduate employability.</w:t>
      </w:r>
    </w:p>
    <w:p>
      <w:pPr>
        <w:pStyle w:val="BodyText"/>
      </w:pPr>
      <w:r>
        <w:t xml:space="preserve">Consequently, the University Lecturer is expected to maintain strong ties with industry partners. This involves:</w:t>
      </w:r>
    </w:p>
    <w:p>
      <w:pPr>
        <w:numPr>
          <w:ilvl w:val="0"/>
          <w:numId w:val="1003"/>
        </w:numPr>
        <w:pStyle w:val="Compact"/>
      </w:pPr>
      <w:r>
        <w:t xml:space="preserve">Guest lecturing from industry experts.</w:t>
      </w:r>
    </w:p>
    <w:p>
      <w:pPr>
        <w:numPr>
          <w:ilvl w:val="0"/>
          <w:numId w:val="1003"/>
        </w:numPr>
        <w:pStyle w:val="Compact"/>
      </w:pPr>
      <w:r>
        <w:t xml:space="preserve">Finding practical placements and internships for students.</w:t>
      </w:r>
    </w:p>
    <w:p>
      <w:pPr>
        <w:pStyle w:val="FirstParagraph"/>
      </w:pPr>
      <w:r>
        <w:t xml:space="preserve">This ensures that the curriculum remains relevant to the local Brisbane job market and national economic needs. Lecturers are increasingly assessed on their ability to bridge the gap between theoretical knowledge and practical application.</w:t>
      </w:r>
    </w:p>
    <w:p>
      <w:pPr>
        <w:pStyle w:val="BodyText"/>
      </w:pPr>
      <w:r>
        <w:t xml:space="preserve">h2 style="color: #e74c3c;"&gt;Slide 9: Professional Challenges and Job Security</w:t>
      </w:r>
    </w:p>
    <w:p>
      <w:pPr>
        <w:pStyle w:val="BodyText"/>
      </w:pPr>
      <w:r>
        <w:t xml:space="preserve">The sector faces significant challenges. The casualization of the academic workforce is a prevalent issue. Many University Lecturers in Brisbane work on fixed-term contracts, which can impact job security and long-term research continuity.</w:t>
      </w:r>
    </w:p>
    <w:p>
      <w:pPr>
        <w:pStyle w:val="BodyText"/>
      </w:pPr>
      <w:r>
        <w:t xml:space="preserve">Additionally, workload management is complex. The pressure to publish, teach large classes efficiently, provide administrative support to committees, and engage in community service creates a high-stress environment. Professional bodies are actively advocating for better working conditions and recognition of teaching excellence equal to research output.</w:t>
      </w:r>
    </w:p>
    <w:p>
      <w:pPr>
        <w:pStyle w:val="BodyText"/>
      </w:pPr>
      <w:r>
        <w:t xml:space="preserve">h2 style="color: #e74c3c;"&gt;Slide 10: Future Directions for the University Lecturer</w:t>
      </w:r>
    </w:p>
    <w:p>
      <w:pPr>
        <w:pStyle w:val="BodyText"/>
      </w:pPr>
      <w:r>
        <w:t xml:space="preserve">Looking ahead, the role of the University Lecturer in</w:t>
      </w:r>
      <w:r>
        <w:t xml:space="preserve"> </w:t>
      </w:r>
      <w:r>
        <w:rPr>
          <w:bCs/>
          <w:b/>
        </w:rPr>
        <w:t xml:space="preserve">Australia Brisbane</w:t>
      </w:r>
      <w:r>
        <w:t xml:space="preserve"> </w:t>
      </w:r>
      <w:r>
        <w:t xml:space="preserve">will continue to evolve. Key trends include:</w:t>
      </w:r>
    </w:p>
    <w:p>
      <w:pPr>
        <w:numPr>
          <w:ilvl w:val="0"/>
          <w:numId w:val="1004"/>
        </w:numPr>
      </w:pPr>
      <w:r>
        <w:rPr>
          <w:bCs/>
          <w:b/>
        </w:rPr>
        <w:t xml:space="preserve">Lifelong Learning Models:</w:t>
      </w:r>
    </w:p>
    <w:p>
      <w:pPr>
        <w:numPr>
          <w:ilvl w:val="0"/>
          <w:numId w:val="1000"/>
        </w:numPr>
      </w:pPr>
      <w:r>
        <w:t xml:space="preserve">Lecturers must design courses that support upskilling and reskilling for older learners, not just traditional undergraduates.</w:t>
      </w:r>
    </w:p>
    <w:p>
      <w:pPr>
        <w:pStyle w:val="FirstParagraph"/>
      </w:pPr>
      <w:r>
        <w:t xml:space="preserve">Interdisciplinary collaboration will become more common to solve complex global problems. Lecturers will need to work across faculty boundaries, breaking down silos between arts, sciences, and engineering.</w:t>
      </w:r>
    </w:p>
    <w:p>
      <w:pPr>
        <w:pStyle w:val="BodyText"/>
      </w:pPr>
      <w:r>
        <w:t xml:space="preserve">Sustainability and climate action are also becoming central themes in higher education curricula across Brisbane.</w:t>
      </w:r>
    </w:p>
    <w:p>
      <w:pPr>
        <w:pStyle w:val="BodyText"/>
      </w:pPr>
      <w:r>
        <w:t xml:space="preserve">h2 style="color: #e74c3c;"&gt;Slide 11: Conclusion</w:t>
      </w:r>
    </w:p>
    <w:p>
      <w:pPr>
        <w:pStyle w:val="BodyText"/>
      </w:pPr>
      <w:r>
        <w:t xml:space="preserve">In summary, the University Lecturer in</w:t>
      </w:r>
      <w:r>
        <w:t xml:space="preserve"> </w:t>
      </w:r>
      <w:r>
        <w:rPr>
          <w:bCs/>
          <w:b/>
        </w:rPr>
        <w:t xml:space="preserve">Australia Brisbane</w:t>
      </w:r>
      <w:r>
        <w:t xml:space="preserve"> </w:t>
      </w:r>
      <w:r>
        <w:t xml:space="preserve">plays a pivotal role in shaping the future of knowledge and society.</w:t>
      </w:r>
    </w:p>
    <w:p>
      <w:pPr>
        <w:pStyle w:val="BodyText"/>
      </w:pPr>
      <w:r>
        <w:t xml:space="preserve">This is a dynamic profession that demands intellectual rigor, technological adaptability, and deep empathy. From adhering to strict quality assurance frameworks to fostering inclusive classrooms that honor Indigenous perspectives, the responsibilities are vast yet rewarding.</w:t>
      </w:r>
    </w:p>
    <w:p>
      <w:pPr>
        <w:pStyle w:val="BodyText"/>
      </w:pPr>
      <w:r>
        <w:t xml:space="preserve">By supporting these professionals through better conditions and resources, Brisbane can continue to cement its status as a world-leading education destination.</w:t>
      </w:r>
    </w:p>
    <w:p>
      <w:pPr>
        <w:pStyle w:val="BodyText"/>
      </w:pPr>
      <w:r>
        <w:t xml:space="preserve">h2 style="color: #e74c3c;"&gt;Slide 12: Q&amp;A</w:t>
      </w:r>
    </w:p>
    <w:p>
      <w:pPr>
        <w:pStyle w:val="BodyText"/>
      </w:pPr>
      <w:r>
        <w:rPr>
          <w:bCs/>
          <w:b/>
        </w:rPr>
        <w:t xml:space="preserve">Thank You for Your Attention</w:t>
      </w:r>
    </w:p>
    <w:p>
      <w:pPr>
        <w:pStyle w:val="BodyText"/>
      </w:pPr>
      <w:r>
        <w:t xml:space="preserve">We now open the floor for questions regarding the role of University Lecturers in Australia Brisbane.</w:t>
      </w:r>
    </w:p>
    <w:p>
      <w:pPr>
        <w:pStyle w:val="BodyText"/>
      </w:pPr>
      <w:r>
        <w:t xml:space="preserve">h2 style="color: #e74c3c;"&gt;Slide 13: References</w:t>
      </w:r>
    </w:p>
    <w:p>
      <w:pPr>
        <w:numPr>
          <w:ilvl w:val="0"/>
          <w:numId w:val="1005"/>
        </w:numPr>
        <w:pStyle w:val="Compact"/>
      </w:pPr>
      <w:r>
        <w:t xml:space="preserve">Australian Universities Quality Agency (AUQA) Standards.</w:t>
      </w:r>
    </w:p>
    <w:p>
      <w:pPr>
        <w:pStyle w:val="FirstParagraph"/>
      </w:pPr>
      <w:r>
        <w:t xml:space="preserve">Brisbane City Council Education Strategy Reports.</w:t>
      </w:r>
    </w:p>
    <w:p>
      <w:pPr>
        <w:pStyle w:val="BodyText"/>
      </w:pPr>
      <w:r>
        <w:t xml:space="preserve">Tertiary Education Quality and Standards Agency (TEQSA) Regulatory Guidelines.</w:t>
      </w:r>
    </w:p>
    <w:p>
      <w:pPr>
        <w:pStyle w:val="BodyText"/>
      </w:pPr>
      <w:r>
        <w:t xml:space="preserve">University of Queensland &amp; QUT Strategic Plans 2021-2030.</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University Lecturer in Australia Brisbane</dc:title>
  <dc:creator/>
  <dc:language>en</dc:language>
  <cp:keywords/>
  <dcterms:created xsi:type="dcterms:W3CDTF">2026-07-29T16:08:34Z</dcterms:created>
  <dcterms:modified xsi:type="dcterms:W3CDTF">2026-07-29T16:08:34Z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