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seminar-presentation-slides-title-page"/>
    <w:p>
      <w:pPr>
        <w:pStyle w:val="Heading2"/>
      </w:pPr>
      <w:r>
        <w:t xml:space="preserve">Seminar Presentation Slides: Title Page</w:t>
      </w:r>
    </w:p>
    <w:bookmarkEnd w:id="20"/>
    <w:bookmarkStart w:id="21" w:name="X472c1e70035bba8f864c38fc80a5859f976d25b"/>
    <w:p>
      <w:pPr>
        <w:pStyle w:val="Heading1"/>
      </w:pPr>
      <w:r>
        <w:t xml:space="preserve">The Evolving Role of the University Lecturer in Brazil São Paulo</w:t>
      </w:r>
    </w:p>
    <w:p>
      <w:pPr>
        <w:pStyle w:val="FirstParagraph"/>
      </w:pPr>
      <w:r>
        <w:rPr>
          <w:bCs/>
          <w:b/>
        </w:rPr>
        <w:t xml:space="preserve">Navigating Academic Excellence, Social Responsibility, and Institutional Innovation</w:t>
      </w:r>
    </w:p>
    <w:p>
      <w:r>
        <w:pict>
          <v:rect style="width:0;height:1.5pt" o:hralign="center" o:hrstd="t" o:hr="t"/>
        </w:pict>
      </w:r>
    </w:p>
    <w:p>
      <w:pPr>
        <w:pStyle w:val="FirstParagraph"/>
      </w:pPr>
      <w:r>
        <w:rPr>
          <w:iCs/>
          <w:i/>
        </w:rPr>
        <w:t xml:space="preserve">This presentation explores the multifaceted responsibilities of a University Lecturer within the specific socio-economic and academic context of Brazil São Paulo. It addresses curriculum development, research expectations, student mentorship in a diverse urban environment, and the integration of technology.</w:t>
      </w:r>
    </w:p>
    <w:bookmarkEnd w:id="21"/>
    <w:bookmarkStart w:id="23" w:name="Xcb63e967fc932d63c902c61706d13dd58f39e87"/>
    <w:p>
      <w:pPr>
        <w:pStyle w:val="Heading2"/>
      </w:pPr>
      <w:r>
        <w:t xml:space="preserve">Slide 1: Introduction to the Brazilian Higher Education Landscape</w:t>
      </w:r>
    </w:p>
    <w:p>
      <w:pPr>
        <w:pStyle w:val="FirstParagraph"/>
      </w:pPr>
      <w:r>
        <w:t xml:space="preserve">Brazil stands as one of the largest higher education systems in the world. However, quality varies significantly across institutions. In this complex ecosystem, Brazil São Paulo emerges as a critical hub of academic activity and economic power.</w:t>
      </w:r>
    </w:p>
    <w:bookmarkStart w:id="22" w:name="key-contextual-factors"/>
    <w:p>
      <w:pPr>
        <w:pStyle w:val="Heading3"/>
      </w:pPr>
      <w:r>
        <w:t xml:space="preserve">Key Contextual Factors:</w:t>
      </w:r>
    </w:p>
    <w:p>
      <w:pPr>
        <w:numPr>
          <w:ilvl w:val="0"/>
          <w:numId w:val="1001"/>
        </w:numPr>
        <w:pStyle w:val="Compact"/>
      </w:pPr>
      <w:r>
        <w:rPr>
          <w:bCs/>
          <w:b/>
        </w:rPr>
        <w:t xml:space="preserve">Diversity:</w:t>
      </w:r>
      <w:r>
        <w:t xml:space="preserve"> </w:t>
      </w:r>
      <w:r>
        <w:t xml:space="preserve">Students come from varied backgrounds, ranging from affluent neighborhoods to marginalized peripheries (periferias).</w:t>
      </w:r>
    </w:p>
    <w:p>
      <w:pPr>
        <w:numPr>
          <w:ilvl w:val="0"/>
          <w:numId w:val="1001"/>
        </w:numPr>
        <w:pStyle w:val="Compact"/>
      </w:pPr>
      <w:r>
        <w:rPr>
          <w:bCs/>
          <w:b/>
        </w:rPr>
        <w:t xml:space="preserve">Institutions:</w:t>
      </w:r>
      <w:r>
        <w:t xml:space="preserve">The region hosts some of the most prestigious universities in Latin America, including the University of São Paulo (USP), Pontifical Catholic University of São Paulo (PUC-SP), and State University of Campinas (UNICAMP) which influences the broader metropolitan area.</w:t>
      </w:r>
    </w:p>
    <w:p>
      <w:pPr>
        <w:numPr>
          <w:ilvl w:val="0"/>
          <w:numId w:val="1001"/>
        </w:numPr>
        <w:pStyle w:val="Compact"/>
      </w:pPr>
      <w:r>
        <w:rPr>
          <w:bCs/>
          <w:b/>
        </w:rPr>
        <w:t xml:space="preserve">Challenge:</w:t>
      </w:r>
      <w:r>
        <w:t xml:space="preserve"> </w:t>
      </w:r>
      <w:r>
        <w:t xml:space="preserve">The disparity between elite private institutions and underfunded public universities creates a unique challenge for equity in education.</w:t>
      </w:r>
    </w:p>
    <w:p>
      <w:pPr>
        <w:pStyle w:val="FirstParagraph"/>
      </w:pPr>
      <w:r>
        <w:t xml:space="preserve">For the University Lecturer, understanding this dichotomy is not just pedagogical; it is ethical and social imperative.</w:t>
      </w:r>
    </w:p>
    <w:bookmarkEnd w:id="22"/>
    <w:bookmarkEnd w:id="23"/>
    <w:bookmarkStart w:id="27" w:name="Xf1a65523ff2e092ed8307e52327f9e9d2fc8b43"/>
    <w:p>
      <w:pPr>
        <w:pStyle w:val="Heading2"/>
      </w:pPr>
      <w:r>
        <w:t xml:space="preserve">Slide 2: Defining the Role of the University Lecturer</w:t>
      </w:r>
    </w:p>
    <w:p>
      <w:pPr>
        <w:pStyle w:val="FirstParagraph"/>
      </w:pPr>
      <w:r>
        <w:t xml:space="preserve">The traditional definition of a lecturer as merely a transmitter of knowledge is obsolete. In Brazil São Paulo, the role has expanded into three core pillars:</w:t>
      </w:r>
    </w:p>
    <w:bookmarkStart w:id="24" w:name="pillar-1-academic-instruction-innovation"/>
    <w:p>
      <w:pPr>
        <w:pStyle w:val="Heading3"/>
      </w:pPr>
      <w:r>
        <w:t xml:space="preserve">Pillar 1: Academic Instruction &amp; Innovation</w:t>
      </w:r>
    </w:p>
    <w:p>
      <w:pPr>
        <w:pStyle w:val="FirstParagraph"/>
      </w:pPr>
      <w:r>
        <w:t xml:space="preserve">Lecturers must design curricula that are relevant to the local job market while maintaining rigorous theoretical standards. This involves integrating case studies relevant to Brazilian industries such as agriculture, aerospace, and fintech.</w:t>
      </w:r>
    </w:p>
    <w:bookmarkEnd w:id="24"/>
    <w:bookmarkStart w:id="25" w:name="pillar-2-research-production"/>
    <w:p>
      <w:pPr>
        <w:pStyle w:val="Heading3"/>
      </w:pPr>
      <w:r>
        <w:t xml:space="preserve">Pillar 2: Research Production</w:t>
      </w:r>
    </w:p>
    <w:p>
      <w:pPr>
        <w:pStyle w:val="FirstParagraph"/>
      </w:pPr>
      <w:r>
        <w:t xml:space="preserve">Institutions in Brazil São Paulo operate under a "Production-Driven" model. Lecturers are evaluated based on their publication output in peer-reviewed journals. This pressure can sometimes conflict with teaching quality, requiring a delicate balance.</w:t>
      </w:r>
    </w:p>
    <w:bookmarkEnd w:id="25"/>
    <w:bookmarkStart w:id="26" w:name="pillar-3-social-extension-extensão"/>
    <w:p>
      <w:pPr>
        <w:pStyle w:val="Heading3"/>
      </w:pPr>
      <w:r>
        <w:t xml:space="preserve">Pillar 3: Social Extension (Extensão)</w:t>
      </w:r>
    </w:p>
    <w:p>
      <w:pPr>
        <w:pStyle w:val="FirstParagraph"/>
      </w:pPr>
      <w:r>
        <w:t xml:space="preserve">Brazilian universities place a unique emphasis on "Extension"—the application of academic knowledge to solve community problems. A University Lecturer in Brazil São Paulo is expected to engage with the city’s social issues, bridging the gap between the ivory tower and the street.</w:t>
      </w:r>
    </w:p>
    <w:bookmarkEnd w:id="26"/>
    <w:bookmarkEnd w:id="27"/>
    <w:bookmarkStart w:id="28" w:name="Xf7206d8ad180844a313e1ff81bcb11448c1581e"/>
    <w:p>
      <w:pPr>
        <w:pStyle w:val="Heading2"/>
      </w:pPr>
      <w:r>
        <w:t xml:space="preserve">Slide 3: Pedagogical Strategies for a Diverse Student Body</w:t>
      </w:r>
    </w:p>
    <w:p>
      <w:pPr>
        <w:pStyle w:val="FirstParagraph"/>
      </w:pPr>
      <w:r>
        <w:t xml:space="preserve">The student demographic in Brazil São Paulo is increasingly heterogeneous. Lecturers must adopt inclusive pedagogical strategies to ensure success for all learners.</w:t>
      </w:r>
    </w:p>
    <w:p>
      <w:pPr>
        <w:numPr>
          <w:ilvl w:val="0"/>
          <w:numId w:val="1002"/>
        </w:numPr>
        <w:pStyle w:val="Compact"/>
      </w:pPr>
      <w:r>
        <w:rPr>
          <w:bCs/>
          <w:b/>
        </w:rPr>
        <w:t xml:space="preserve">Multicultural Sensitivity:</w:t>
      </w:r>
      <w:r>
        <w:t xml:space="preserve"> </w:t>
      </w:r>
      <w:r>
        <w:t xml:space="preserve">Recognizing the cultural nuances of students from different regions of Brazil and international students present in the metropolitan area.</w:t>
      </w:r>
    </w:p>
    <w:p>
      <w:pPr>
        <w:numPr>
          <w:ilvl w:val="0"/>
          <w:numId w:val="1002"/>
        </w:numPr>
        <w:pStyle w:val="Compact"/>
      </w:pPr>
      <w:r>
        <w:rPr>
          <w:bCs/>
          <w:b/>
        </w:rPr>
        <w:t xml:space="preserve">Differentiated Instruction:</w:t>
      </w:r>
      <w:r>
        <w:t xml:space="preserve"> </w:t>
      </w:r>
      <w:r>
        <w:t xml:space="preserve">Acknowledging that students may arrive with varying levels of prior education. Lecturers must scaffold learning effectively, perhaps offering foundational reviews alongside advanced topics.</w:t>
      </w:r>
    </w:p>
    <w:p>
      <w:pPr>
        <w:numPr>
          <w:ilvl w:val="0"/>
          <w:numId w:val="1002"/>
        </w:numPr>
        <w:pStyle w:val="Compact"/>
      </w:pPr>
      <w:r>
        <w:rPr>
          <w:bCs/>
          <w:b/>
        </w:rPr>
        <w:t xml:space="preserve">Digital Inclusion:</w:t>
      </w:r>
      <w:r>
        <w:t xml:space="preserve"> </w:t>
      </w:r>
      <w:r>
        <w:t xml:space="preserve">While Brazil São Paulo is technologically advanced, not all students have equal access to high-speed internet or modern hardware. Seminars and lectures must remain accessible even in low-bandwidth scenarios.</w:t>
      </w:r>
    </w:p>
    <w:p>
      <w:pPr>
        <w:pStyle w:val="FirstParagraph"/>
      </w:pPr>
      <w:r>
        <w:rPr>
          <w:iCs/>
          <w:i/>
        </w:rPr>
        <w:t xml:space="preserve">Action Item: Conduct a "Learning Style Audit" at the beginning of each semester to tailor teaching methods accordingly.</w:t>
      </w:r>
    </w:p>
    <w:bookmarkEnd w:id="28"/>
    <w:bookmarkStart w:id="30" w:name="X97cd12598aa89598301547aa96a3d945e820761"/>
    <w:p>
      <w:pPr>
        <w:pStyle w:val="Heading2"/>
      </w:pPr>
      <w:r>
        <w:t xml:space="preserve">Slide 4: The Impact of Technology and Hybrid Learning</w:t>
      </w:r>
    </w:p>
    <w:p>
      <w:pPr>
        <w:pStyle w:val="FirstParagraph"/>
      </w:pPr>
      <w:r>
        <w:t xml:space="preserve">The post-pandemic era has permanently altered the landscape of higher education. In Brazil São Paulo, where traffic congestion can severely impact student attendance, hybrid models have become essential.</w:t>
      </w:r>
    </w:p>
    <w:bookmarkStart w:id="29" w:name="technological-integration"/>
    <w:p>
      <w:pPr>
        <w:pStyle w:val="Heading3"/>
      </w:pPr>
      <w:r>
        <w:t xml:space="preserve">Technological Integration:</w:t>
      </w:r>
    </w:p>
    <w:p>
      <w:pPr>
        <w:numPr>
          <w:ilvl w:val="0"/>
          <w:numId w:val="1003"/>
        </w:numPr>
        <w:pStyle w:val="Compact"/>
      </w:pPr>
      <w:r>
        <w:rPr>
          <w:bCs/>
          <w:b/>
        </w:rPr>
        <w:t xml:space="preserve">LMS Utilization:</w:t>
      </w:r>
      <w:r>
        <w:t xml:space="preserve"> </w:t>
      </w:r>
      <w:r>
        <w:t xml:space="preserve">Effective use of platforms like Moodle or Canvas to distribute materials and track progress.</w:t>
      </w:r>
    </w:p>
    <w:p>
      <w:pPr>
        <w:numPr>
          <w:ilvl w:val="0"/>
          <w:numId w:val="1003"/>
        </w:numPr>
        <w:pStyle w:val="Compact"/>
      </w:pPr>
      <w:r>
        <w:rPr>
          <w:bCs/>
          <w:b/>
        </w:rPr>
        <w:t xml:space="preserve">Synchronous vs. Asynchronous Learning:</w:t>
      </w:r>
    </w:p>
    <w:p>
      <w:pPr>
        <w:numPr>
          <w:ilvl w:val="0"/>
          <w:numId w:val="1003"/>
        </w:numPr>
        <w:pStyle w:val="Compact"/>
      </w:pPr>
      <w:r>
        <w:rPr>
          <w:bCs/>
          <w:b/>
        </w:rPr>
        <w:t xml:space="preserve">Data Analytics:</w:t>
      </w:r>
      <w:r>
        <w:t xml:space="preserve"> </w:t>
      </w:r>
      <w:r>
        <w:t xml:space="preserve">Using learning analytics to identify at-risk students early and provide intervention.</w:t>
      </w:r>
    </w:p>
    <w:p>
      <w:pPr>
        <w:pStyle w:val="FirstParagraph"/>
      </w:pPr>
      <w:r>
        <w:t xml:space="preserve">The University Lecturer must be a tech-savvy facilitator, not just a content provider. Failure to adapt risks losing engagement in a digital-native generation.</w:t>
      </w:r>
    </w:p>
    <w:bookmarkEnd w:id="29"/>
    <w:bookmarkEnd w:id="30"/>
    <w:bookmarkStart w:id="32" w:name="X89e5a4952594bfa8035d39b63def9c2b398fbb8"/>
    <w:p>
      <w:pPr>
        <w:pStyle w:val="Heading2"/>
      </w:pPr>
      <w:r>
        <w:t xml:space="preserve">Slide 5: Research and Community Engagement</w:t>
      </w:r>
    </w:p>
    <w:p>
      <w:pPr>
        <w:pStyle w:val="FirstParagraph"/>
      </w:pPr>
      <w:r>
        <w:t xml:space="preserve">In the context of Brazil São Paulo, research cannot be isolated from reality. The city is a laboratory for urban challenges, including public health crises, transportation logistics, and economic inequality.</w:t>
      </w:r>
    </w:p>
    <w:bookmarkStart w:id="31" w:name="action-oriented-research"/>
    <w:p>
      <w:pPr>
        <w:pStyle w:val="Heading3"/>
      </w:pPr>
      <w:r>
        <w:t xml:space="preserve">Action-Oriented Research:</w:t>
      </w:r>
    </w:p>
    <w:p>
      <w:pPr>
        <w:numPr>
          <w:ilvl w:val="0"/>
          <w:numId w:val="1004"/>
        </w:numPr>
        <w:pStyle w:val="Compact"/>
      </w:pPr>
      <w:r>
        <w:rPr>
          <w:bCs/>
          <w:b/>
        </w:rPr>
        <w:t xml:space="preserve">Interdisciplinary Collaboration:</w:t>
      </w:r>
      <w:r>
        <w:t xml:space="preserve">Lecturers should collaborate with colleagues from law, engineering, and social sciences to address complex city-wide problems.</w:t>
      </w:r>
    </w:p>
    <w:p>
      <w:pPr>
        <w:numPr>
          <w:ilvl w:val="0"/>
          <w:numId w:val="1004"/>
        </w:numPr>
        <w:pStyle w:val="Compact"/>
      </w:pPr>
      <w:r>
        <w:rPr>
          <w:bCs/>
          <w:b/>
        </w:rPr>
        <w:t xml:space="preserve">PUBLIC POLICY INTERVENTION:</w:t>
      </w:r>
      <w:r>
        <w:t xml:space="preserve">Data collected in classrooms and labs should inform local government policy. For example, public health researchers working with the São Paulo city health department.</w:t>
      </w:r>
    </w:p>
    <w:p>
      <w:pPr>
        <w:numPr>
          <w:ilvl w:val="0"/>
          <w:numId w:val="1004"/>
        </w:numPr>
        <w:pStyle w:val="Compact"/>
      </w:pPr>
      <w:r>
        <w:rPr>
          <w:bCs/>
          <w:b/>
        </w:rPr>
        <w:t xml:space="preserve">Community Partnerships:</w:t>
      </w:r>
      <w:r>
        <w:t xml:space="preserve"> </w:t>
      </w:r>
      <w:r>
        <w:t xml:space="preserve">Establishing partnerships with NGOs, local businesses, and community centers to provide real-world application for student projects.</w:t>
      </w:r>
    </w:p>
    <w:p>
      <w:pPr>
        <w:pStyle w:val="FirstParagraph"/>
      </w:pPr>
      <w:r>
        <w:t xml:space="preserve">This approach elevates the status of the University Lecturer from academic observer to active societal participant.</w:t>
      </w:r>
    </w:p>
    <w:bookmarkEnd w:id="31"/>
    <w:bookmarkEnd w:id="32"/>
    <w:bookmarkStart w:id="34" w:name="X0ff73871c3ccbb64492b7cf17d2955863798417"/>
    <w:p>
      <w:pPr>
        <w:pStyle w:val="Heading2"/>
      </w:pPr>
      <w:r>
        <w:t xml:space="preserve">Slide 6: Mental Health and Student Well-being</w:t>
      </w:r>
    </w:p>
    <w:p>
      <w:pPr>
        <w:pStyle w:val="FirstParagraph"/>
      </w:pPr>
      <w:r>
        <w:t xml:space="preserve">Mental health has become a critical issue in higher education. Students in Brazil São Paulo face significant external pressures, including economic instability, safety concerns, and family responsibilities.</w:t>
      </w:r>
    </w:p>
    <w:bookmarkStart w:id="33" w:name="the-lecturer-as-a-support-system"/>
    <w:p>
      <w:pPr>
        <w:pStyle w:val="Heading3"/>
      </w:pPr>
      <w:r>
        <w:t xml:space="preserve">The Lecturer as a Support System:</w:t>
      </w:r>
    </w:p>
    <w:p>
      <w:pPr>
        <w:numPr>
          <w:ilvl w:val="0"/>
          <w:numId w:val="1005"/>
        </w:numPr>
        <w:pStyle w:val="Compact"/>
      </w:pPr>
      <w:r>
        <w:rPr>
          <w:bCs/>
          <w:b/>
        </w:rPr>
        <w:t xml:space="preserve">Vigilance:</w:t>
      </w:r>
      <w:r>
        <w:t xml:space="preserve">Lecturers are often the first to notice changes in student behavior or performance. Training in recognizing signs of anxiety, depression, or burnout is essential.</w:t>
      </w:r>
    </w:p>
    <w:p>
      <w:pPr>
        <w:numPr>
          <w:ilvl w:val="0"/>
          <w:numId w:val="1005"/>
        </w:numPr>
        <w:pStyle w:val="Compact"/>
      </w:pPr>
      <w:r>
        <w:rPr>
          <w:bCs/>
          <w:b/>
        </w:rPr>
        <w:t xml:space="preserve">Flexible Policies:</w:t>
      </w:r>
      <w:r>
        <w:t xml:space="preserve"> </w:t>
      </w:r>
      <w:r>
        <w:t xml:space="preserve">Implementing compassionate deadline adjustments for students facing personal crises.</w:t>
      </w:r>
    </w:p>
    <w:p>
      <w:pPr>
        <w:numPr>
          <w:ilvl w:val="0"/>
          <w:numId w:val="1005"/>
        </w:numPr>
        <w:pStyle w:val="Compact"/>
      </w:pPr>
      <w:r>
        <w:rPr>
          <w:bCs/>
          <w:b/>
        </w:rPr>
        <w:t xml:space="preserve">Creating Safe Spaces:</w:t>
      </w:r>
      <w:r>
        <w:t xml:space="preserve">Fostering a classroom environment where students feel safe to express their views and struggles without judgment.</w:t>
      </w:r>
    </w:p>
    <w:p>
      <w:pPr>
        <w:pStyle w:val="FirstParagraph"/>
      </w:pPr>
      <w:r>
        <w:rPr>
          <w:iCs/>
          <w:i/>
        </w:rPr>
        <w:t xml:space="preserve">Note: Universities in Brazil São Paulo are increasingly providing counseling services, but the lecturer plays a crucial referral and supportive role.</w:t>
      </w:r>
    </w:p>
    <w:bookmarkEnd w:id="33"/>
    <w:bookmarkEnd w:id="34"/>
    <w:bookmarkStart w:id="36" w:name="X49807f23b9425aa0ba617f3512eb6c7ad5faf8b"/>
    <w:p>
      <w:pPr>
        <w:pStyle w:val="Heading2"/>
      </w:pPr>
      <w:r>
        <w:t xml:space="preserve">Slide 7: Career Development and Professional Ethics</w:t>
      </w:r>
    </w:p>
    <w:p>
      <w:pPr>
        <w:pStyle w:val="FirstParagraph"/>
      </w:pPr>
      <w:r>
        <w:t xml:space="preserve">Beyond teaching and research, University Lecturers in Brazil São Paulo have a responsibility to guide students toward professional success.</w:t>
      </w:r>
    </w:p>
    <w:bookmarkStart w:id="35" w:name="mentorship-opportunities"/>
    <w:p>
      <w:pPr>
        <w:pStyle w:val="Heading3"/>
      </w:pPr>
      <w:r>
        <w:t xml:space="preserve">Mentorship Opportunities:</w:t>
      </w:r>
    </w:p>
    <w:p>
      <w:pPr>
        <w:numPr>
          <w:ilvl w:val="0"/>
          <w:numId w:val="1006"/>
        </w:numPr>
        <w:pStyle w:val="Compact"/>
      </w:pPr>
      <w:r>
        <w:rPr>
          <w:bCs/>
          <w:b/>
        </w:rPr>
        <w:t xml:space="preserve">Career Guidance:</w:t>
      </w:r>
      <w:r>
        <w:t xml:space="preserve">Maintaining networks with industry professionals in São Paulo’s dynamic market (finance, tech, manufacturing) to help secure internships and jobs for students.</w:t>
      </w:r>
    </w:p>
    <w:p>
      <w:pPr>
        <w:numPr>
          <w:ilvl w:val="0"/>
          <w:numId w:val="1006"/>
        </w:numPr>
        <w:pStyle w:val="Compact"/>
      </w:pPr>
      <w:r>
        <w:rPr>
          <w:bCs/>
          <w:b/>
        </w:rPr>
        <w:t xml:space="preserve">Ethical Leadership:</w:t>
      </w:r>
      <w:r>
        <w:t xml:space="preserve">Teaching not just *what* to do, but *how* to act ethically. Corruption and inequality are issues that affect Brazil; lecturers must model integrity and social responsibility.</w:t>
      </w:r>
    </w:p>
    <w:p>
      <w:pPr>
        <w:numPr>
          <w:ilvl w:val="0"/>
          <w:numId w:val="1006"/>
        </w:numPr>
        <w:pStyle w:val="Compact"/>
      </w:pPr>
      <w:r>
        <w:rPr>
          <w:bCs/>
          <w:b/>
        </w:rPr>
        <w:t xml:space="preserve">Lifelong Learning:</w:t>
      </w:r>
      <w:r>
        <w:t xml:space="preserve">Encouraging students to view education as a continuous process, adapting to the rapidly changing global economy.</w:t>
      </w:r>
    </w:p>
    <w:p>
      <w:pPr>
        <w:pStyle w:val="FirstParagraph"/>
      </w:pPr>
      <w:r>
        <w:t xml:space="preserve">The relationship between lecturer and student in this context is akin to a mentor-mentee bond that often extends well beyond graduation.</w:t>
      </w:r>
    </w:p>
    <w:bookmarkEnd w:id="35"/>
    <w:bookmarkEnd w:id="36"/>
    <w:bookmarkStart w:id="39" w:name="slide-8-challenges-and-future-outlook"/>
    <w:p>
      <w:pPr>
        <w:pStyle w:val="Heading2"/>
      </w:pPr>
      <w:r>
        <w:t xml:space="preserve">Slide 8: Challenges and Future Outlook</w:t>
      </w:r>
    </w:p>
    <w:p>
      <w:pPr>
        <w:pStyle w:val="FirstParagraph"/>
      </w:pPr>
      <w:r>
        <w:t xml:space="preserve">The role of the University Lecturer in Brazil São Paulo is fraught with challenges but also immense opportunity.</w:t>
      </w:r>
    </w:p>
    <w:bookmarkStart w:id="37" w:name="persistent-challenges"/>
    <w:p>
      <w:pPr>
        <w:pStyle w:val="Heading3"/>
      </w:pPr>
      <w:r>
        <w:t xml:space="preserve">Persistent Challenges:</w:t>
      </w:r>
    </w:p>
    <w:p>
      <w:pPr>
        <w:numPr>
          <w:ilvl w:val="0"/>
          <w:numId w:val="1007"/>
        </w:numPr>
        <w:pStyle w:val="Compact"/>
      </w:pPr>
      <w:r>
        <w:rPr>
          <w:bCs/>
          <w:b/>
        </w:rPr>
        <w:t xml:space="preserve">Funding Instability:</w:t>
      </w:r>
      <w:r>
        <w:t xml:space="preserve">Public universities often face budget cuts, affecting resources and staff salaries.</w:t>
      </w:r>
    </w:p>
    <w:p>
      <w:pPr>
        <w:numPr>
          <w:ilvl w:val="0"/>
          <w:numId w:val="1007"/>
        </w:numPr>
        <w:pStyle w:val="Compact"/>
      </w:pPr>
      <w:r>
        <w:t xml:space="preserve">Bureaucracy:Navigating the complex administrative structures of large institutions can be time-consuming for faculty.</w:t>
      </w:r>
    </w:p>
    <w:bookmarkEnd w:id="37"/>
    <w:bookmarkStart w:id="38" w:name="the-future-outlook"/>
    <w:p>
      <w:pPr>
        <w:pStyle w:val="Heading3"/>
      </w:pPr>
      <w:r>
        <w:t xml:space="preserve">The Future Outlook:</w:t>
      </w:r>
    </w:p>
    <w:p>
      <w:pPr>
        <w:pStyle w:val="FirstParagraph"/>
      </w:pPr>
      <w:r>
        <w:t xml:space="preserve">The future belongs to lecturers who are adaptable, empathetic, and technologically proficient. There is a growing demand for "Hybrid" roles that combine academic rigor with practical industry experience. The University Lecturer will increasingly be seen as a bridge between theory and practice, preparing students not just for exams, but for life in one of the world’s most vibrant megacities.</w:t>
      </w:r>
    </w:p>
    <w:bookmarkEnd w:id="38"/>
    <w:bookmarkEnd w:id="39"/>
    <w:bookmarkStart w:id="41" w:name="seminar-conclusion-call-to-action"/>
    <w:p>
      <w:pPr>
        <w:pStyle w:val="Heading2"/>
      </w:pPr>
      <w:r>
        <w:t xml:space="preserve">Seminar Conclusion: Call to Action</w:t>
      </w:r>
    </w:p>
    <w:bookmarkStart w:id="40" w:name="summary-of-key-takeaways"/>
    <w:p>
      <w:pPr>
        <w:pStyle w:val="Heading3"/>
      </w:pPr>
      <w:r>
        <w:t xml:space="preserve">Summary of Key Takeaways:</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University Lecturer in Brazil São Paulo</dc:title>
  <dc:creator/>
  <dc:language>en</dc:language>
  <cp:keywords/>
  <dcterms:created xsi:type="dcterms:W3CDTF">2026-07-29T16:25:24Z</dcterms:created>
  <dcterms:modified xsi:type="dcterms:W3CDTF">2026-07-29T16:25:24Z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