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7" w:name="Xfd8b6b3ed2fc655df3053c075ba479e663330a9"/>
    <w:p>
      <w:pPr>
        <w:pStyle w:val="Heading1"/>
      </w:pPr>
      <w:r>
        <w:t xml:space="preserve">Seminar Presentation Slides</w:t>
      </w:r>
      <w:r>
        <w:br/>
      </w:r>
      <w:r>
        <w:t xml:space="preserve">The University Lecturer in New Zealand Wellington</w:t>
      </w:r>
    </w:p>
    <w:bookmarkStart w:id="20" w:name="Xf6d80da7f258ad7b374a615ce778f9ca96cc4b0"/>
    <w:p>
      <w:pPr>
        <w:pStyle w:val="Heading2"/>
      </w:pPr>
      <w:r>
        <w:t xml:space="preserve">Title: Navigating Academia in the Capital City</w:t>
      </w:r>
    </w:p>
    <w:p>
      <w:pPr>
        <w:pStyle w:val="FirstParagraph"/>
      </w:pPr>
      <w:r>
        <w:t xml:space="preserve">Welcome to this comprehensive Seminar Presentation dedicated to the multifaceted role of the University Lecturer within the specific geographic, cultural, and academic context of Wellington, New Zealand. As we gather to discuss higher education dynamics, it is crucial to understand that a University Lecturer is not merely an educator but a complex hybrid professional. This presentation explores how the identity of being based in Wellington influences pedagogical approaches, research agendas, and community engagement.</w:t>
      </w:r>
    </w:p>
    <w:p>
      <w:pPr>
        <w:pStyle w:val="BodyText"/>
      </w:pPr>
      <w:r>
        <w:t xml:space="preserve">We will examine the unique intersection of policy, culture, and practice. Wellington serves as the political heart of New Zealand, hosting key government departments that shape education policy. Therefore, a University Lecturer here operates under a unique visibility and pressure compared to colleagues in Auckland or Christchurch. This document aims to dissect these layers for students, junior academics, and stakeholders interested in the tertiary sector.</w:t>
      </w:r>
    </w:p>
    <w:bookmarkEnd w:id="20"/>
    <w:bookmarkStart w:id="24" w:name="Xcb7e4a5660e7cc804c1ebc5364bf10955068614"/>
    <w:p>
      <w:pPr>
        <w:pStyle w:val="Heading2"/>
      </w:pPr>
      <w:r>
        <w:t xml:space="preserve">The Tripartite Role of the University Lecturer</w:t>
      </w:r>
    </w:p>
    <w:p>
      <w:pPr>
        <w:pStyle w:val="FirstParagraph"/>
      </w:pPr>
      <w:r>
        <w:t xml:space="preserve">In New Zealand, as in most global academic institutions, the role of a University Lecturer is defined by three core pillars: Teaching, Research/Creation, and Service. However, when situated in Wellington’s competitive tertiary environment across institutions like Victoria University of Wellington (Te Herenga Waka) or Massey University’s capital city campus, these roles require nuanced adaptation.</w:t>
      </w:r>
    </w:p>
    <w:bookmarkStart w:id="21" w:name="teaching-excellence"/>
    <w:p>
      <w:pPr>
        <w:pStyle w:val="Heading3"/>
      </w:pPr>
      <w:r>
        <w:t xml:space="preserve">1. Teaching Excellence</w:t>
      </w:r>
    </w:p>
    <w:p>
      <w:pPr>
        <w:pStyle w:val="FirstParagraph"/>
      </w:pPr>
      <w:r>
        <w:t xml:space="preserve">The primary duty is to facilitate learning. In the context of Wellington, this often involves integrating industry-relevant content due to the city's status as a hub for government policy, creative arts, and technology. A University Lecturer must bridge the gap between theoretical frameworks and practical application.</w:t>
      </w:r>
    </w:p>
    <w:bookmarkEnd w:id="21"/>
    <w:bookmarkStart w:id="22" w:name="research-and-creation"/>
    <w:p>
      <w:pPr>
        <w:pStyle w:val="Heading3"/>
      </w:pPr>
      <w:r>
        <w:t xml:space="preserve">2. Research and Creation</w:t>
      </w:r>
    </w:p>
    <w:p>
      <w:pPr>
        <w:pStyle w:val="FirstParagraph"/>
      </w:pPr>
      <w:r>
        <w:t xml:space="preserve">New Zealand’s funding mechanisms, such as Performance-Based Research Fund (PBRF) assessments, heavily incentivize high-quality research. The Wellington-based lecturer is expected to produce outputs that contribute to the global knowledge economy while often addressing local or national issues relevant to New Zealand’s specific challenges.</w:t>
      </w:r>
    </w:p>
    <w:bookmarkEnd w:id="22"/>
    <w:bookmarkStart w:id="23" w:name="service-and-leadership"/>
    <w:p>
      <w:pPr>
        <w:pStyle w:val="Heading3"/>
      </w:pPr>
      <w:r>
        <w:t xml:space="preserve">3. Service and Leadership</w:t>
      </w:r>
    </w:p>
    <w:p>
      <w:pPr>
        <w:pStyle w:val="FirstParagraph"/>
      </w:pPr>
      <w:r>
        <w:t xml:space="preserve">This involves administrative duties, committee work, and professional service. In Wellington’s smaller but tight-knit academic community, visibility is high. Service often extends beyond the university walls due to the proximity of cultural institutions like Te Papa Tongarewa (Museum of New Zealand) and government agencies.</w:t>
      </w:r>
    </w:p>
    <w:bookmarkEnd w:id="23"/>
    <w:bookmarkEnd w:id="24"/>
    <w:bookmarkStart w:id="25" w:name="X946c36e2cd2dab9ab18df26af6f51125b016737"/>
    <w:p>
      <w:pPr>
        <w:pStyle w:val="Heading2"/>
      </w:pPr>
      <w:r>
        <w:t xml:space="preserve">The Wellington Context: A Unique Academic Ecosystem</w:t>
      </w:r>
    </w:p>
    <w:p>
      <w:pPr>
        <w:pStyle w:val="FirstParagraph"/>
      </w:pPr>
      <w:r>
        <w:t xml:space="preserve">To fully appreciate the role of the University Lecturer, one must analyze the specific environment of New Zealand Wellington. Unlike other global capitals, Wellington is compact. This geographical intimacy creates a distinct professional atmosphere where boundaries between academia, government, and creative industries are porous.</w:t>
      </w:r>
    </w:p>
    <w:p>
      <w:pPr>
        <w:pStyle w:val="BodyText"/>
      </w:pPr>
      <w:r>
        <w:rPr>
          <w:bCs/>
          <w:b/>
        </w:rPr>
        <w:t xml:space="preserve">The Proximity to Policy:</w:t>
      </w:r>
      <w:r>
        <w:t xml:space="preserve"> </w:t>
      </w:r>
      <w:r>
        <w:t xml:space="preserve">Wellington hosts Parliament House and key ministries responsible for education (such as Tertiary Education Commission liaison offices). Consequently, University Lecturers in this region often find their research being scrutinized or utilized by policymakers more rapidly than elsewhere. This requires a heightened awareness of the socio-political landscape.</w:t>
      </w:r>
    </w:p>
    <w:p>
      <w:pPr>
        <w:pStyle w:val="BodyText"/>
      </w:pPr>
      <w:r>
        <w:rPr>
          <w:bCs/>
          <w:b/>
        </w:rPr>
        <w:t xml:space="preserve">The Creative and Tech Hub:</w:t>
      </w:r>
      <w:r>
        <w:t xml:space="preserve"> </w:t>
      </w:r>
      <w:r>
        <w:t xml:space="preserve">With a thriving film industry (Weta Workshop/Peter Jackson’s influence), gaming sector, and digital innovation parks, Wellington-based lecturers in arts, design, and computer science have unparalleled access to industry partners. This influences how the University Lecturer structures internships, guest lectureships, and collaborative projects.</w:t>
      </w:r>
    </w:p>
    <w:bookmarkEnd w:id="25"/>
    <w:bookmarkStart w:id="26" w:name="X63db257f23381cdda2df0608e631397bb682932"/>
    <w:p>
      <w:pPr>
        <w:pStyle w:val="Heading2"/>
      </w:pPr>
      <w:r>
        <w:t xml:space="preserve">Tikanga Māori and Te Tiriti o Waitangi Obligations</w:t>
      </w:r>
    </w:p>
    <w:p>
      <w:pPr>
        <w:pStyle w:val="FirstParagraph"/>
      </w:pPr>
      <w:r>
        <w:t xml:space="preserve">No discussion on a University Lecturer in New Zealand is complete without addressing the Treaty of Waitangi. In Wellington, the obligation to incorporate Tikanga Māori (Māori customs/practices) and Te Ao Māori (the Māori world view) into curriculum design is not optional; it is a statutory and ethical requirement for public universities.</w:t>
      </w:r>
    </w:p>
    <w:p>
      <w:pPr>
        <w:pStyle w:val="BodyText"/>
      </w:pPr>
      <w:r>
        <w:rPr>
          <w:bCs/>
          <w:b/>
        </w:rPr>
        <w:t xml:space="preserve">Cultural Competency:</w:t>
      </w:r>
      <w:r>
        <w:t xml:space="preserve"> </w:t>
      </w:r>
      <w:r>
        <w:t xml:space="preserve">A University Lecturer must demonstrate cultural safety in the classroom. This involves understanding the history of colonisation in New Zealand and how it impacts current student demographics, particularly Māori and Pasifika students who may face systemic barriers to success.</w:t>
      </w:r>
    </w:p>
    <w:p>
      <w:pPr>
        <w:pStyle w:val="BodyText"/>
      </w:pPr>
      <w:r>
        <w:rPr>
          <w:bCs/>
          <w:b/>
        </w:rPr>
        <w:t xml:space="preserve">Pedagogical Integration:</w:t>
      </w:r>
      <w:r>
        <w:t xml:space="preserve"> </w:t>
      </w:r>
      <w:r>
        <w:t xml:space="preserve">In Wellington, this is often supported by strong partnerships with local Iwi (tribes). The University Lecturer is expected to collaborate with Māori subject matter experts. For instance, a lecturer in environmental science at Te Herenga Waka must engage with Indigenous knowledge systems regarding land and water management, reflecting the specific geographical realities of the Wellington region.</w:t>
      </w:r>
    </w:p>
    <w:bookmarkEnd w:id="26"/>
    <w:bookmarkStart w:id="29" w:name="X72c773f0d089558c444255fd14bb4c63643fd6a"/>
    <w:p>
      <w:pPr>
        <w:pStyle w:val="Heading2"/>
      </w:pPr>
      <w:r>
        <w:t xml:space="preserve">Pedagogical Approaches in a Capital City Context</w:t>
      </w:r>
    </w:p>
    <w:p>
      <w:pPr>
        <w:pStyle w:val="FirstParagraph"/>
      </w:pPr>
      <w:r>
        <w:t xml:space="preserve">The role of the University Lecturer has shifted from "sage on the stage" to "guide on the side." In Wellington, this shift is accelerated by a student body that is often older, part-time, and working professionals given the city's job market dynamics.</w:t>
      </w:r>
    </w:p>
    <w:bookmarkStart w:id="27" w:name="flexible-learning"/>
    <w:p>
      <w:pPr>
        <w:pStyle w:val="Heading3"/>
      </w:pPr>
      <w:r>
        <w:t xml:space="preserve">Flexible Learning</w:t>
      </w:r>
    </w:p>
    <w:p>
      <w:pPr>
        <w:pStyle w:val="FirstParagraph"/>
      </w:pPr>
      <w:r>
        <w:t xml:space="preserve">Lecturers must design hybrid learning models. Wellington’s weather can be windy and rainy, disrupting commute times for students living in lower-decile suburbs. Effective University Lecturers utilize digital platforms to ensure continuity of learning regardless of physical attendance, while still fostering face-to-face interaction which is crucial for networking.</w:t>
      </w:r>
    </w:p>
    <w:bookmarkEnd w:id="27"/>
    <w:bookmarkStart w:id="28" w:name="interdisciplinary-teaching"/>
    <w:p>
      <w:pPr>
        <w:pStyle w:val="Heading3"/>
      </w:pPr>
      <w:r>
        <w:t xml:space="preserve">Interdisciplinary Teaching</w:t>
      </w:r>
    </w:p>
    <w:p>
      <w:pPr>
        <w:pStyle w:val="FirstParagraph"/>
      </w:pPr>
      <w:r>
        <w:t xml:space="preserve">Policies in New Zealand are inherently interdisciplinary. A lecturer teaching public policy must understand economics, sociology, and ethics. Wellington-based universities often house cross-faculty institutes (such as the Institute of Public Policy Studies). The University Lecturer is expected to break down silos and teach students how to solve complex societal problems using multiple lenses.</w:t>
      </w:r>
    </w:p>
    <w:bookmarkEnd w:id="28"/>
    <w:bookmarkEnd w:id="29"/>
    <w:bookmarkStart w:id="32" w:name="Xfa6a19b2baf31080fa597a4d5048fe151ed891e"/>
    <w:p>
      <w:pPr>
        <w:pStyle w:val="Heading2"/>
      </w:pPr>
      <w:r>
        <w:t xml:space="preserve">The Challenge of Academic Workload and Wellbeing</w:t>
      </w:r>
    </w:p>
    <w:p>
      <w:pPr>
        <w:pStyle w:val="FirstParagraph"/>
      </w:pPr>
      <w:r>
        <w:t xml:space="preserve">The modern University Lecturer faces increasing pressure. The metrics for success in Wellington’s universities are stringent. The PBRF cycle creates periods of intense preparation, often leading to burnout. Furthermore, the cost of living in Wellington is among the highest in New Zealand.</w:t>
      </w:r>
    </w:p>
    <w:bookmarkStart w:id="30" w:name="financial-pressures"/>
    <w:p>
      <w:pPr>
        <w:pStyle w:val="Heading3"/>
      </w:pPr>
      <w:r>
        <w:t xml:space="preserve">Financial Pressures</w:t>
      </w:r>
    </w:p>
    <w:p>
      <w:pPr>
        <w:pStyle w:val="FirstParagraph"/>
      </w:pPr>
      <w:r>
        <w:t xml:space="preserve">Housing affordability crises impact recruitment. It can be difficult for early-career University Lecturers to settle in Wellington due to rental costs. This impacts retention and diversity within the academic staff.</w:t>
      </w:r>
    </w:p>
    <w:bookmarkEnd w:id="30"/>
    <w:bookmarkStart w:id="31" w:name="mental-health-support"/>
    <w:p>
      <w:pPr>
        <w:pStyle w:val="Heading3"/>
      </w:pPr>
      <w:r>
        <w:t xml:space="preserve">Mental Health Support</w:t>
      </w:r>
    </w:p>
    <w:p>
      <w:pPr>
        <w:pStyle w:val="FirstParagraph"/>
      </w:pPr>
      <w:r>
        <w:t xml:space="preserve">Institutional support is vital. However, the culture of academia often stigmatizes vulnerability. Seminars like this one aim to normalize discussions around workload management, peer supervision, and mental health resources available through university staff unions and welfare services.</w:t>
      </w:r>
    </w:p>
    <w:bookmarkEnd w:id="31"/>
    <w:bookmarkEnd w:id="32"/>
    <w:bookmarkStart w:id="33" w:name="Xc5f089a05c1118c579f847b56233894d6566538"/>
    <w:p>
      <w:pPr>
        <w:pStyle w:val="Heading2"/>
      </w:pPr>
      <w:r>
        <w:t xml:space="preserve">The Future of the University Lecturer Role</w:t>
      </w:r>
    </w:p>
    <w:p>
      <w:pPr>
        <w:pStyle w:val="FirstParagraph"/>
      </w:pPr>
      <w:r>
        <w:t xml:space="preserve">Looking ahead, the role of the University Lecturer in New Zealand Wellington will evolve further. Several trends are emerging that require adaptation.</w:t>
      </w:r>
    </w:p>
    <w:p>
      <w:pPr>
        <w:numPr>
          <w:ilvl w:val="0"/>
          <w:numId w:val="1001"/>
        </w:numPr>
        <w:pStyle w:val="Compact"/>
      </w:pPr>
      <w:r>
        <w:rPr>
          <w:bCs/>
          <w:b/>
        </w:rPr>
        <w:t xml:space="preserve">Digital Transformation:</w:t>
      </w:r>
      <w:r>
        <w:t xml:space="preserve"> </w:t>
      </w:r>
      <w:r>
        <w:t xml:space="preserve">The integration of AI and big data into research methods means lecturers must be lifelong learners in technology. In Wellington’s tech hub, this pressure is even more acute as industry expectations rise.</w:t>
      </w:r>
    </w:p>
    <w:p>
      <w:pPr>
        <w:numPr>
          <w:ilvl w:val="0"/>
          <w:numId w:val="1001"/>
        </w:numPr>
        <w:pStyle w:val="Compact"/>
      </w:pPr>
      <w:r>
        <w:rPr>
          <w:bCs/>
          <w:b/>
        </w:rPr>
        <w:t xml:space="preserve">Sustainability and Climate Action:</w:t>
      </w:r>
      <w:r>
        <w:t xml:space="preserve"> </w:t>
      </w:r>
      <w:r>
        <w:t xml:space="preserve">As a coastal city vulnerable to climate change, Wellington universities are at the forefront of sustainability research. The University Lecturer is increasingly expected to embed sustainability into all disciplines, not just environmental science.</w:t>
      </w:r>
    </w:p>
    <w:p>
      <w:pPr>
        <w:numPr>
          <w:ilvl w:val="0"/>
          <w:numId w:val="1001"/>
        </w:numPr>
        <w:pStyle w:val="Compact"/>
      </w:pPr>
      <w:r>
        <w:rPr>
          <w:bCs/>
          <w:b/>
        </w:rPr>
        <w:t xml:space="preserve">Glocalisation:</w:t>
      </w:r>
      <w:r>
        <w:t xml:space="preserve"> </w:t>
      </w:r>
      <w:r>
        <w:t xml:space="preserve">While maintaining local relevance (New Zealand context), lecturers must maintain global competitiveness. This involves publishing in international journals while ensuring community engagement remains grounded in Wellington’s local realities.</w:t>
      </w:r>
    </w:p>
    <w:bookmarkEnd w:id="33"/>
    <w:bookmarkStart w:id="34" w:name="conclusion-and-key-takeaways"/>
    <w:p>
      <w:pPr>
        <w:pStyle w:val="Heading2"/>
      </w:pPr>
      <w:r>
        <w:t xml:space="preserve">Conclusion and Key Takeaways</w:t>
      </w:r>
    </w:p>
    <w:p>
      <w:pPr>
        <w:pStyle w:val="FirstParagraph"/>
      </w:pPr>
      <w:r>
        <w:t xml:space="preserve">In conclusion, the role of the University Lecturer in New Zealand Wellington is dynamic, demanding, and profoundly impactful. It requires a delicate balancing act between global academic standards and local cultural obligations.</w:t>
      </w:r>
    </w:p>
    <w:p>
      <w:pPr>
        <w:pStyle w:val="BodyText"/>
      </w:pPr>
      <w:r>
        <w:rPr>
          <w:bCs/>
          <w:b/>
        </w:rPr>
        <w:t xml:space="preserve">Summary Points:</w:t>
      </w:r>
    </w:p>
    <w:p>
      <w:pPr>
        <w:numPr>
          <w:ilvl w:val="0"/>
          <w:numId w:val="1002"/>
        </w:numPr>
        <w:pStyle w:val="Compact"/>
      </w:pPr>
      <w:r>
        <w:t xml:space="preserve">The Wellington context offers unique industry and policy links that enhance the relevance of teaching.</w:t>
      </w:r>
    </w:p>
    <w:p>
      <w:pPr>
        <w:numPr>
          <w:ilvl w:val="0"/>
          <w:numId w:val="1002"/>
        </w:numPr>
        <w:pStyle w:val="Compact"/>
      </w:pPr>
      <w:r>
        <w:t xml:space="preserve">Tikanga Māori is central to ethical practice in New Zealand higher education.</w:t>
      </w:r>
    </w:p>
    <w:p>
      <w:pPr>
        <w:numPr>
          <w:ilvl w:val="0"/>
          <w:numId w:val="1002"/>
        </w:numPr>
        <w:pStyle w:val="Compact"/>
      </w:pPr>
      <w:r>
        <w:t xml:space="preserve">The tripartite role of Teaching, Research, and Service remains the foundation but is evolving with digital and societal changes.</w:t>
      </w:r>
    </w:p>
    <w:p>
      <w:pPr>
        <w:pStyle w:val="FirstParagraph"/>
      </w:pPr>
      <w:r>
        <w:t xml:space="preserve">We urge all stakeholders to support University Lecturers in navigating these complexities, ensuring that Wellington remains a beacon of academic excellence and cultural inclusivity in the Asia-Pacific region.</w:t>
      </w:r>
    </w:p>
    <w:bookmarkEnd w:id="34"/>
    <w:bookmarkStart w:id="36" w:name="qa-and-further-reading"/>
    <w:p>
      <w:pPr>
        <w:pStyle w:val="Heading2"/>
      </w:pPr>
      <w:r>
        <w:t xml:space="preserve">Q&amp;A and Further Reading</w:t>
      </w:r>
    </w:p>
    <w:p>
      <w:pPr>
        <w:pStyle w:val="FirstParagraph"/>
      </w:pPr>
      <w:r>
        <w:t xml:space="preserve">We now open the floor for questions regarding the specific experiences of lecturers, strategies for navigating Wellington’s academic landscape, and resources for emerging academics.</w:t>
      </w:r>
    </w:p>
    <w:bookmarkStart w:id="35" w:name="suggested-resources"/>
    <w:p>
      <w:pPr>
        <w:pStyle w:val="Heading3"/>
      </w:pPr>
      <w:r>
        <w:t xml:space="preserve">Suggested Resources:</w:t>
      </w:r>
    </w:p>
    <w:p>
      <w:pPr>
        <w:numPr>
          <w:ilvl w:val="0"/>
          <w:numId w:val="1003"/>
        </w:numPr>
        <w:pStyle w:val="Compact"/>
      </w:pPr>
      <w:r>
        <w:t xml:space="preserve">Tertiary Education Commission (TEC) Guidelines on Teaching Excellence.</w:t>
      </w:r>
    </w:p>
    <w:p>
      <w:pPr>
        <w:numPr>
          <w:ilvl w:val="0"/>
          <w:numId w:val="1003"/>
        </w:numPr>
        <w:pStyle w:val="Compact"/>
      </w:pPr>
      <w:r>
        <w:t xml:space="preserve">New Zealand Association of Lecturers (NZAL) Policy Documents.</w:t>
      </w:r>
    </w:p>
    <w:p>
      <w:pPr>
        <w:numPr>
          <w:ilvl w:val="0"/>
          <w:numId w:val="1003"/>
        </w:numPr>
        <w:pStyle w:val="Compact"/>
      </w:pPr>
      <w:r>
        <w:t xml:space="preserve">"Te Tiriti o Waitangi" Educational Frameworks from NZQA.</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University Lecturer in New Zealand Wellington</dc:title>
  <dc:creator/>
  <dc:language>en</dc:language>
  <cp:keywords/>
  <dcterms:created xsi:type="dcterms:W3CDTF">2026-07-29T23:10:43Z</dcterms:created>
  <dcterms:modified xsi:type="dcterms:W3CDTF">2026-07-29T23:10:43Z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