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63c0f1c12c4fe3b8227a76cdbe6774782f58ca2"/>
    <w:p>
      <w:pPr>
        <w:pStyle w:val="Heading1"/>
      </w:pPr>
      <w:r>
        <w:t xml:space="preserve">Statement of Purpose: Advancing Architectural Excellence in Kuwait City</w:t>
      </w:r>
    </w:p>
    <w:p>
      <w:pPr>
        <w:pStyle w:val="FirstParagraph"/>
      </w:pPr>
      <w:r>
        <w:t xml:space="preserve">As an ambitious and culturally attuned Architect, I submit this Statement of Purpose to formally express my commitment to contributing innovative, sustainable, and contextually sensitive design solutions within the dynamic urban landscape of Kuwait City. My journey as an Architect has been deeply shaped by a profound respect for cultural heritage and a rigorous pursuit of modern architectural excellence—principles I am eager to apply directly in the heart of Kuwait’s capital, where visionary development meets timeless tradition.</w:t>
      </w:r>
    </w:p>
    <w:p>
      <w:pPr>
        <w:pStyle w:val="BodyText"/>
      </w:pPr>
      <w:r>
        <w:t xml:space="preserve">My academic foundation was forged at the American University of Sharjah, where I earned a Master’s degree in Architecture with honors. My thesis, "Sustainable Urbanism in Arid Climates: Integrating Traditional Wisdom with Contemporary Technology," focused on passive cooling strategies inspired by Kuwaiti architectural heritage—such as wind towers (barjeel) and shaded courtyards—to address the pressing challenges of energy efficiency and thermal comfort in Kuwait City’s extreme climate. This research was not merely theoretical; it involved fieldwork across historic neighborhoods like Al-Asmakh, where I documented vernacular building techniques now at risk of being lost amid rapid modernization. Through this work, I realized that true architectural success in Kuwait requires more than technical skill—it demands an intimate understanding of local identity and a collaborative approach with community stakeholders. This conviction solidified my resolve to practice as an Architect who bridges the past and future.</w:t>
      </w:r>
    </w:p>
    <w:p>
      <w:pPr>
        <w:pStyle w:val="BodyText"/>
      </w:pPr>
      <w:r>
        <w:t xml:space="preserve">Professionally, I have honed my expertise through three years at AECOM’s Dubai office, where I contributed to high-profile mixed-use projects across the Gulf. Most significantly, I served as a Junior Architect on the "Kuwait City Central District Masterplan," a project aimed at revitalizing downtown Kuwait City with pedestrian-friendly corridors and green spaces while respecting the city’s historical fabric. In this role, I developed detailed site analyses incorporating Kuwaiti Building Code regulations, climate-responsive façade designs, and community engagement frameworks—all directly addressing the unique demands of developing in a culturally rich yet rapidly evolving metropolis. I also collaborated closely with local engineers to integrate solar energy systems into building envelopes, ensuring compliance with Kuwait’s new sustainability standards. This project reinforced my belief that an Architect must be both a technical problem-solver and a cultural translator, capable of turning regulatory frameworks into spaces that resonate with Kuwaiti identity.</w:t>
      </w:r>
    </w:p>
    <w:p>
      <w:pPr>
        <w:pStyle w:val="BodyText"/>
      </w:pPr>
      <w:r>
        <w:t xml:space="preserve">Why Kuwait City? My decision is rooted in both professional aspiration and personal alignment. Having spent months studying the city’s architectural evolution—from the iconic Al-Sabah Palace to contemporary landmarks like the Kuwait Towers—I am captivated by its trajectory as a global city deeply connected to its Bedouin heritage. I am eager to contribute to projects that honor this duality, such as those envisioned under Kuwait Vision 2035, which prioritizes sustainable urban development and cultural preservation. Unlike generic architectural practice elsewhere, working in Kuwait City requires navigating a nuanced balance: respecting Islamic principles of privacy and community in design while embracing cutting-edge technology. I am prepared to engage with local authorities like the Supreme Council for Planning (SCP) and collaborate with firms deeply embedded in Kuwait’s regulatory ecosystem—such as Al-Sabah Architecture or Al-Shamal Engineering—to ensure my work adheres to both aesthetic and practical imperatives. This city does not merely need buildings; it needs Architectural narratives that reflect its soul.</w:t>
      </w:r>
    </w:p>
    <w:p>
      <w:pPr>
        <w:pStyle w:val="BodyText"/>
      </w:pPr>
      <w:r>
        <w:t xml:space="preserve">My professional ethos is defined by three pillars: sustainability, cultural intelligence, and collaborative innovation. In Kuwait City’s context, these are inseparable. I have already implemented these principles—such as using locally sourced materials to reduce carbon footprint on a residential project in Al-Masalih—and I am prepared to scale them for larger urban interventions. For instance, I propose designing community centers that merge traditional geometric patterns with adaptive reuse of historic structures, fostering social cohesion while minimizing environmental impact. As an Architect committed to lifelong learning, I also plan to engage with the Kuwaiti Society of Architects and pursue certifications in green building standards (LEED or Estidama) to further align my practice with the nation’s developmental goals.</w:t>
      </w:r>
    </w:p>
    <w:p>
      <w:pPr>
        <w:pStyle w:val="BodyText"/>
      </w:pPr>
      <w:r>
        <w:t xml:space="preserve">Ultimately, this Statement of Purpose is a declaration of intent: I seek not just employment, but partnership. I aim to become an Architect who actively shapes Kuwait City’s skyline—not merely through aesthetics, but through thoughtful design that enhances daily life for its residents. My vision aligns with the city’s ambition to be a model of modern Arab urbanism, where skyscrapers coexist harmoniously with cultural landmarks and green corridors. In Kuwait City, architecture is more than construction; it is storytelling in stone and steel. I am ready to contribute my skills, empathy, and dedication to this vital mission. I respectfully request the opportunity to bring my expertise to a region that so profoundly inspires architectural innovation—and where the role of the Architect transcends design, becoming a catalyst for meaningful progress.</w:t>
      </w:r>
    </w:p>
    <w:p>
      <w:pPr>
        <w:pStyle w:val="BodyText"/>
      </w:pPr>
      <w:r>
        <w:t xml:space="preserve">As I prepare to embark on this next chapter of my career as an Architect, I am confident that my academic rigor, hands-on experience in complex urban environments, and deep appreciation for Kuwait’s unique cultural and environmental context position me to make a tangible impact. I eagerly anticipate the possibility of contributing to Kuwait City’s future as a symbol of thoughtful, sustainable growth—a future where every building tells a story of respect for heritage and hope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Kuwait City</dc:title>
  <dc:creator/>
  <cp:keywords/>
  <dcterms:created xsi:type="dcterms:W3CDTF">2026-07-22T23:13:23Z</dcterms:created>
  <dcterms:modified xsi:type="dcterms:W3CDTF">2026-07-22T23:13:23Z</dcterms:modified>
</cp:coreProperties>
</file>

<file path=docProps/custom.xml><?xml version="1.0" encoding="utf-8"?>
<Properties xmlns="http://schemas.openxmlformats.org/officeDocument/2006/custom-properties" xmlns:vt="http://schemas.openxmlformats.org/officeDocument/2006/docPropsVTypes"/>
</file>