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Kuwait</w:t>
      </w:r>
      <w:r>
        <w:t xml:space="preserve"> </w:t>
      </w:r>
      <w:r>
        <w:t xml:space="preserve">City</w:t>
      </w:r>
    </w:p>
    <w:bookmarkStart w:id="20" w:name="Xc3ffbf60e3416e13b1de5c14cf9d0e5a937bf35"/>
    <w:p>
      <w:pPr>
        <w:pStyle w:val="Heading1"/>
      </w:pPr>
      <w:r>
        <w:t xml:space="preserve">Statement of Purpose for Banking Professional Position in Kuwait City</w:t>
      </w:r>
    </w:p>
    <w:p>
      <w:pPr>
        <w:pStyle w:val="FirstParagraph"/>
      </w:pPr>
      <w:r>
        <w:t xml:space="preserve">As a dedicated banking professional with over eight years of progressive experience across international financial institutions, I am writing to express my profound commitment to advancing my career as a Banker within the dynamic and strategically vital financial ecosystem of Kuwait City. My aspiration is not merely to contribute to the banking sector but to actively support Kuwait’s economic vision through excellence in client-centric banking services, regulatory compliance, and innovative financial solutions tailored for the unique needs of Kuwaiti businesses and individuals. This Statement of Purpose articulates my professional trajectory, specialized competencies, and unwavering dedication to serving the prestigious financial landscape of Kuwait City.</w:t>
      </w:r>
    </w:p>
    <w:p>
      <w:pPr>
        <w:pStyle w:val="BodyText"/>
      </w:pPr>
      <w:r>
        <w:t xml:space="preserve">Kuwait City stands as the undisputed economic and financial nucleus of the Gulf Cooperation Council (GCC), where banking is intrinsically linked to national development, diversification beyond hydrocarbons, and robust Islamic finance practices. Having closely followed the Central Bank of Kuwait’s strategic initiatives—particularly those aligning with Vision 2035 and the National Economic Development Plan—I recognize that success as a Banker here demands more than technical expertise; it requires deep cultural intelligence, an understanding of regional regulatory frameworks, and a commitment to fostering inclusive financial growth within Kuwait’s distinct socio-economic context. My professional journey has been meticulously aligned with these imperatives.</w:t>
      </w:r>
    </w:p>
    <w:p>
      <w:pPr>
        <w:pStyle w:val="BodyText"/>
      </w:pPr>
      <w:r>
        <w:t xml:space="preserve">Throughout my career at multinational banks operating in the MENA region—including roles as Senior Relationship Manager at Citibank Dubai and Credit Analyst for HSBC Middle East—I have developed a comprehensive skill set directly applicable to the Kuwait City market. I have successfully managed portfolios exceeding $500 million, with 85% of clients representing SMEs and high-net-worth individuals in sectors critical to Kuwait’s economy: energy services, real estate development, and trade logistics. Crucially, I have deep expertise in Sharia-compliant financial instruments—such as Murabaha and Ijarah structures—which are not just optional but fundamental to the majority of banking services offered across Kuwait City. My certification from the Islamic Financial Services Board (IFSB) ensures my ability to navigate complex compliance requirements under the Central Bank of Kuwait’s updated Sharia Governance Framework.</w:t>
      </w:r>
    </w:p>
    <w:p>
      <w:pPr>
        <w:pStyle w:val="BodyText"/>
      </w:pPr>
      <w:r>
        <w:t xml:space="preserve">What distinguishes me for a Banker role in Kuwait City is my proven ability to bridge global best practices with local market nuances. For instance, during a recent engagement with a major Kuwaiti construction firm seeking financing for infrastructure projects, I designed an integrated package combining conventional credit facilities with Islamic equity participation (Musharaka), aligning perfectly with the client’s preference for Sharia-compliant solutions while meeting their capital needs within strict Central Bank guidelines. This project resulted in a 30% increase in client retention and became a reference case for our firm’s approach to Kuwaiti clients. I understand that trust is paramount here, built through face-to-face engagements—whether at the Al-Sabah Palace commercial district or during community events at Kuwait City’s Al-Asmakh Cultural Village.</w:t>
      </w:r>
    </w:p>
    <w:p>
      <w:pPr>
        <w:pStyle w:val="BodyText"/>
      </w:pPr>
      <w:r>
        <w:t xml:space="preserve">My academic foundation further strengthens my readiness for this role. I hold an MBA in International Finance from the University of London with a thesis on "Regulatory Convergence in GCC Banking Systems," which included comparative analysis of Kuwaiti and Emirati financial frameworks. Additionally, I have completed specialized training modules on Kuwaiti Commercial Law (Article 122) and the Central Bank’s Circulars on Anti-Money Laundering (AML) for retail banking—knowledge directly applicable to mitigating risks unique to Kuwait City’s bustling financial corridors. This technical rigor is complemented by my fluency in Arabic (C1 level), enabling seamless communication with clients across all demographic segments—from expatriate communities in Salmiya to traditional business families in Al-Shuwaikh.</w:t>
      </w:r>
    </w:p>
    <w:p>
      <w:pPr>
        <w:pStyle w:val="BodyText"/>
      </w:pPr>
      <w:r>
        <w:t xml:space="preserve">Furthermore, I am deeply committed to contributing beyond transactional banking. Kuwait City’s financial sector thrives on community engagement, and I have actively participated in initiatives like the Kuwait Chamber of Commerce’s "Financial Literacy for SMEs" program and the Central Bank’s Youth Financial Education workshops. As a Banker in this city, I envision spearheading similar programs to empower local entrepreneurs—a direct contribution to Kuwait’s economic diversification goals. My experience mentoring junior staff at my previous institution also aligns with Kuwait City banks’ emphasis on talent development as a pillar of sustainable growth.</w:t>
      </w:r>
    </w:p>
    <w:p>
      <w:pPr>
        <w:pStyle w:val="BodyText"/>
      </w:pPr>
      <w:r>
        <w:t xml:space="preserve">What excites me most about the opportunity in Kuwait City is the chance to serve an institution that shapes national prosperity. Banks here are not merely service providers but strategic partners in driving Vision 2035, supporting projects like the Kuwait International Airport expansion and Al-Khurayb Regional Investment Project. As a Banker, I am prepared to leverage my expertise in risk assessment, portfolio management, and client relationship development to support such initiatives while maintaining the highest ethical standards. I have closely studied leading Kuwaiti banks—including National Bank of Kuwait (NBK), Commercial Bank of Kuwait (CBK), and Gulf International Bank—understanding their distinct market positions and service philosophies. My goal is to bring my skills to an institution that values innovation within the context of Kuwaiti cultural and regulatory frameworks.</w:t>
      </w:r>
    </w:p>
    <w:p>
      <w:pPr>
        <w:pStyle w:val="BodyText"/>
      </w:pPr>
      <w:r>
        <w:t xml:space="preserve">In conclusion, my career has been defined by a steadfast focus on delivering value in complex financial markets, with a specialized emphasis on the Gulf’s most dynamic banking hub: Kuwait City. I am confident that my blend of Sharia-compliant finance expertise, local market acumen, regulatory knowledge, and commitment to community impact uniquely positions me to excel as a Banker within your esteemed institution. I seek not just employment but an opportunity to contribute meaningfully to Kuwait City’s evolution as a global financial center—a mission where my skills and aspirations converge. Thank you for considering this Statement of Purpose; I eagerly anticipate the possibility of discussing how my vision aligns with your strategic goals in serving the future of banking in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Kuwait City</dc:title>
  <dc:creator/>
  <dc:language>en</dc:language>
  <cp:keywords/>
  <dcterms:created xsi:type="dcterms:W3CDTF">2025-12-10T01:18:53Z</dcterms:created>
  <dcterms:modified xsi:type="dcterms:W3CDTF">2025-12-10T01:18:53Z</dcterms:modified>
</cp:coreProperties>
</file>

<file path=docProps/custom.xml><?xml version="1.0" encoding="utf-8"?>
<Properties xmlns="http://schemas.openxmlformats.org/officeDocument/2006/custom-properties" xmlns:vt="http://schemas.openxmlformats.org/officeDocument/2006/docPropsVTypes"/>
</file>