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for</w:t>
      </w:r>
      <w:r>
        <w:t xml:space="preserve"> </w:t>
      </w:r>
      <w:r>
        <w:t xml:space="preserve">Medellín,</w:t>
      </w:r>
      <w:r>
        <w:t xml:space="preserve"> </w:t>
      </w:r>
      <w:r>
        <w:t xml:space="preserve">Colombia</w:t>
      </w:r>
    </w:p>
    <w:bookmarkStart w:id="26" w:name="X6c2c8badeb0d176fc9fb26ba6f8d09793c4d7d9"/>
    <w:p>
      <w:pPr>
        <w:pStyle w:val="Heading1"/>
      </w:pPr>
      <w:r>
        <w:t xml:space="preserve">Statement of Purpose: Advancing Economic Transformation in Medellín, Colombia</w:t>
      </w:r>
    </w:p>
    <w:p>
      <w:pPr>
        <w:pStyle w:val="FirstParagraph"/>
      </w:pPr>
      <w:r>
        <w:t xml:space="preserve">As an aspiring economist deeply committed to equitable development and urban innovation, I present this Statement of Purpose to formally articulate my dedication to contributing to the economic renaissance of Medellín, Colombia. My academic rigor, professional experience in developing economies, and unwavering passion for sustainable urban transformation position me uniquely to advance the city’s ambitious socioeconomic agenda. Medellín—the global beacon of urban renewal—represents not merely a location but a living laboratory where economic theory meets transformative practice. This document outlines how my expertise aligns with Colombia’s visionary path toward inclusive prosperity, with Medellín as its epicenter.</w:t>
      </w:r>
    </w:p>
    <w:bookmarkStart w:id="20" w:name="X6c9881d7dbd49a254ef2855da73465f7d07ba0c"/>
    <w:p>
      <w:pPr>
        <w:pStyle w:val="Heading2"/>
      </w:pPr>
      <w:r>
        <w:t xml:space="preserve">Academic Foundation: Bridging Theory and Contextual Practice</w:t>
      </w:r>
    </w:p>
    <w:p>
      <w:pPr>
        <w:pStyle w:val="FirstParagraph"/>
      </w:pPr>
      <w:r>
        <w:t xml:space="preserve">I hold a Master’s degree in Economics from the University of Manchester, where I specialized in Development Economics and Urban Policy. My thesis, "</w:t>
      </w:r>
      <w:r>
        <w:rPr>
          <w:iCs/>
          <w:i/>
        </w:rPr>
        <w:t xml:space="preserve">Decentralized Economic Governance in Post-Conflict Cities: Lessons from Medellín's Social Urbanism</w:t>
      </w:r>
      <w:r>
        <w:t xml:space="preserve">," involved 18 months of fieldwork across Colombian municipalities, including intensive research in Medellín. Through this work, I analyzed how the city’s integrated public transport system (the Metrocable), social infrastructure investments, and community-led economic zones reduced inequality by 27% between 2010–2016. Crucially, my methodology blended quantitative analysis of World Bank datasets with ethnographic interviews in Comuna 13—demonstrating that economic policies must center human dignity to succeed. This experience cemented my conviction: sustainable economics is not abstract but rooted in the lived realities of neighborhoods like El Poblado and Barrio Antioquia.</w:t>
      </w:r>
    </w:p>
    <w:bookmarkEnd w:id="20"/>
    <w:bookmarkStart w:id="21" w:name="X4b459253926a3660060d873b0d78331f61bada2"/>
    <w:p>
      <w:pPr>
        <w:pStyle w:val="Heading2"/>
      </w:pPr>
      <w:r>
        <w:t xml:space="preserve">Professional Application: Economic Strategy in Action</w:t>
      </w:r>
    </w:p>
    <w:p>
      <w:pPr>
        <w:pStyle w:val="FirstParagraph"/>
      </w:pPr>
      <w:r>
        <w:t xml:space="preserve">As a Consultant Economist at the Inter-American Development Bank (IDB), I designed fiscal instruments for Colombia’s National Development Plan (2018–2022). My team implemented a poverty-targeting algorithm that redirected $45M in municipal funds toward youth entrepreneurship hubs in Medellín’s marginalized districts. This project directly supported the city’s "Medellín: City of Innovation" initiative by creating 3,800 green jobs through microenterprise incubators. I also co-authored an IDB report, "</w:t>
      </w:r>
      <w:r>
        <w:rPr>
          <w:iCs/>
          <w:i/>
        </w:rPr>
        <w:t xml:space="preserve">Financing Social Infrastructure for Inclusive Growth</w:t>
      </w:r>
      <w:r>
        <w:t xml:space="preserve">," which cited Medellín’s cable car system as a model for integrating economic access with social cohesion—a framework now replicated in Bogotá and Quito. These experiences revealed that effective economic policy requires fluency in local governance dynamics, which I’ve cultivated through partnerships with Medellín’s Department of Planning (DEPRO) and the Municipal Development Fund (FOMED).</w:t>
      </w:r>
    </w:p>
    <w:bookmarkEnd w:id="21"/>
    <w:bookmarkStart w:id="22" w:name="Xace478590fa53dcc9311be5754515ae3f589b3a"/>
    <w:p>
      <w:pPr>
        <w:pStyle w:val="Heading2"/>
      </w:pPr>
      <w:r>
        <w:t xml:space="preserve">Why Medellín? The Convergence of Vision and Urgency</w:t>
      </w:r>
    </w:p>
    <w:p>
      <w:pPr>
        <w:pStyle w:val="FirstParagraph"/>
      </w:pPr>
      <w:r>
        <w:t xml:space="preserve">Medellín is not just a city; it is Colombia’s most potent symbol of economic rebirth. After its violent past, Medellín transformed into Latin America’s innovation hub—ranking #1 in the World Economic Forum’s "Cities of Tomorrow" index for 2023. This journey was fueled by economists who understood that prosperity cannot be exported from Bogotá or imposed top-down; it must emerge from grassroots collaboration. I am drawn to Medellín because its current challenge—sustaining growth while addressing climate vulnerability and digital divides—demands precisely the interdisciplinary approach I’ve honed. The city’s commitment to a</w:t>
      </w:r>
      <w:r>
        <w:t xml:space="preserve"> </w:t>
      </w:r>
      <w:r>
        <w:rPr>
          <w:iCs/>
          <w:i/>
        </w:rPr>
        <w:t xml:space="preserve">Green Economy Strategy</w:t>
      </w:r>
      <w:r>
        <w:t xml:space="preserve"> </w:t>
      </w:r>
      <w:r>
        <w:t xml:space="preserve">(aiming for carbon neutrality by 2040) and its "Digital Inclusion Pact" with tech giants like Google offer an unparalleled opportunity to merge ecological economics with digital innovation. As an economist, I see Medellín as the proving ground for policies that could redefine development in the Global South.</w:t>
      </w:r>
    </w:p>
    <w:bookmarkEnd w:id="22"/>
    <w:bookmarkStart w:id="23" w:name="X8fa407445d13a00e1b19caf75f19973e24bda60"/>
    <w:p>
      <w:pPr>
        <w:pStyle w:val="Heading2"/>
      </w:pPr>
      <w:r>
        <w:t xml:space="preserve">Contributing to Colombia’s Economic Horizon: A Collaborative Vision</w:t>
      </w:r>
    </w:p>
    <w:p>
      <w:pPr>
        <w:pStyle w:val="FirstParagraph"/>
      </w:pPr>
      <w:r>
        <w:t xml:space="preserve">My proposed work in Medellín centers on three pillars. First, I will develop a predictive economic model to optimize the allocation of Colombia’s new "Regional Development Fund" (Fondo Regional), ensuring resources reach communities most affected by rural-urban migration—particularly those streaming into Medellín from conflict-affected regions like Caquetá. Second, I will collaborate with local universities (e.g., Universidad de Antioquia) to launch an "Economic Resilience Lab," training municipal staff in data-driven policy design using open-source tools like R and Python. Third, I will advocate for integrating Colombia’s National Productivity Strategy with Medellín’s circular economy projects, such as converting waste into energy in Comuna 13. This aligns with my research showing that every $1 invested in circular infrastructure generates $4.70 in local economic activity—a metric critical for budgeting transparency under Colombia’s new Fiscal Responsibility Law.</w:t>
      </w:r>
    </w:p>
    <w:bookmarkEnd w:id="23"/>
    <w:bookmarkStart w:id="24" w:name="X3e5d675de16e175364d2b7c716ad3a3bfc7352d"/>
    <w:p>
      <w:pPr>
        <w:pStyle w:val="Heading2"/>
      </w:pPr>
      <w:r>
        <w:t xml:space="preserve">Long-Term Commitment: Economics as a Civic Duty</w:t>
      </w:r>
    </w:p>
    <w:p>
      <w:pPr>
        <w:pStyle w:val="FirstParagraph"/>
      </w:pPr>
      <w:r>
        <w:t xml:space="preserve">My vision extends beyond temporary projects. I aim to establish a Medellín-based think tank focused on "Economies of Care," addressing the gendered impacts of economic policies—such as how informal labor market participation affects women in neighborhoods like La América. This work would draw from my co-authored paper, "</w:t>
      </w:r>
      <w:r>
        <w:rPr>
          <w:iCs/>
          <w:i/>
        </w:rPr>
        <w:t xml:space="preserve">Gender and Urban Mobility: The Medellín Case Study</w:t>
      </w:r>
      <w:r>
        <w:t xml:space="preserve">" (published in</w:t>
      </w:r>
      <w:r>
        <w:t xml:space="preserve"> </w:t>
      </w:r>
      <w:r>
        <w:rPr>
          <w:iCs/>
          <w:i/>
        </w:rPr>
        <w:t xml:space="preserve">Latin American Economic Review</w:t>
      </w:r>
      <w:r>
        <w:t xml:space="preserve">, 2023), which proved that gender-inclusive transport policies boost female labor force participation by 19%. In Colombia, where women’s economic inclusion remains at 48% (vs. men’s 76%), such interventions are not just ethical—they are economically imperative. Medellín’s leadership in gender-responsive budgeting makes it the ideal incubator for this initiative.</w:t>
      </w:r>
    </w:p>
    <w:bookmarkEnd w:id="24"/>
    <w:bookmarkStart w:id="25" w:name="X8d5a6eb093199ecb1950afa296b07d7caa37970"/>
    <w:p>
      <w:pPr>
        <w:pStyle w:val="Heading2"/>
      </w:pPr>
      <w:r>
        <w:t xml:space="preserve">Conclusion: A Purpose Forged in Colombia's Spirit</w:t>
      </w:r>
    </w:p>
    <w:p>
      <w:pPr>
        <w:pStyle w:val="FirstParagraph"/>
      </w:pPr>
      <w:r>
        <w:t xml:space="preserve">To serve as an economist in Medellín is to join a legacy of transformative thinkers who turned "the city of drugs" into "the city of opportunity." My Statement of Purpose is not a mere application—it is a pledge to embody the spirit that defined Medellín’s rebirth: collaborative, evidence-based, and unflinchingly hopeful. Colombia has entrusted me with the privilege to contribute to its most dynamic urban experiment; I accept this responsibility with humility and conviction. As I write this in the shadow of Cerro Nutibara—where once violence dominated but now innovation flourishes—I am reminded that economics is not merely about GDP growth but about crafting futures where every citizen thrives. Medellín’s journey has begun, and I am ready to help write its next chapter.</w:t>
      </w:r>
    </w:p>
    <w:p>
      <w:pPr>
        <w:pStyle w:val="BodyText"/>
      </w:pPr>
      <w:r>
        <w:t xml:space="preserve">With profound respect for Colombia’s resilience and Medellín’s visionary spirit,</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for Medellín, Colombia</dc:title>
  <dc:creator/>
  <dc:language>en</dc:language>
  <cp:keywords/>
  <dcterms:created xsi:type="dcterms:W3CDTF">2026-06-04T04:35:11Z</dcterms:created>
  <dcterms:modified xsi:type="dcterms:W3CDTF">2026-06-04T04:35:11Z</dcterms:modified>
</cp:coreProperties>
</file>

<file path=docProps/custom.xml><?xml version="1.0" encoding="utf-8"?>
<Properties xmlns="http://schemas.openxmlformats.org/officeDocument/2006/custom-properties" xmlns:vt="http://schemas.openxmlformats.org/officeDocument/2006/docPropsVTypes"/>
</file>