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6613bd34253b0a34addf5be393d28f5c0c5117b"/>
    <w:p>
      <w:pPr>
        <w:pStyle w:val="Heading2"/>
      </w:pPr>
      <w:r>
        <w:t xml:space="preserve">FOR ECONOMIST POSITION IN SAUDI ARABIA RIYADH</w:t>
      </w:r>
    </w:p>
    <w:p>
      <w:pPr>
        <w:pStyle w:val="FirstParagraph"/>
      </w:pPr>
      <w:r>
        <w:t xml:space="preserve">As a dedicated professional with advanced expertise in macroeconomic analysis and policy formulation, I submit this Statement of Purpose to express my unwavering commitment to contributing as an Economist within Saudi Arabia's transformative economic landscape. My career trajectory has been meticulously aligned with the Kingdom's Vision 2030 objectives, and I am profoundly motivated to apply my analytical capabilities in the heart of this dynamic transformation—Riyadh, the capital that serves as Saudi Arabia's central engine for economic diversification.</w:t>
      </w:r>
    </w:p>
    <w:bookmarkStart w:id="20" w:name="Xcc17d291082fd38025dde1c2ad3f925d5a85c14"/>
    <w:p>
      <w:pPr>
        <w:pStyle w:val="Heading3"/>
      </w:pPr>
      <w:r>
        <w:t xml:space="preserve">Academic Foundation and Professional Expertise</w:t>
      </w:r>
    </w:p>
    <w:p>
      <w:pPr>
        <w:pStyle w:val="FirstParagraph"/>
      </w:pPr>
      <w:r>
        <w:t xml:space="preserve">I hold a Master's degree in Economics from the University of Cambridge, specializing in Resource Economics and Sustainable Development, complemented by a Bachelor's with honors in Quantitative Economics. My academic rigor was demonstrated through my thesis on "Fiscal Policy Mechanisms for Non-Oil Revenue Diversification," which earned recognition as the top research paper at the 2022 International Development Conference. This work directly anticipated Saudi Arabia's strategic shift toward economic resilience—a vision that has since become central to Vision 2030. In my professional capacity at the International Monetary Fund (IMF), I analyzed energy transition pathways for Gulf economies, developing forecasting models adopted by OPEC+ policymakers. These experiences have equipped me with advanced econometric skills, proficiency in STATA and Python for economic modeling, and a nuanced understanding of how fiscal policy intersects with geopolitical realities in resource-dependent economies.</w:t>
      </w:r>
    </w:p>
    <w:bookmarkEnd w:id="20"/>
    <w:bookmarkStart w:id="21" w:name="X0808fba561218c34900cadb86d8de40f7c5d4ac"/>
    <w:p>
      <w:pPr>
        <w:pStyle w:val="Heading3"/>
      </w:pPr>
      <w:r>
        <w:t xml:space="preserve">Alignment with Saudi Arabia's Economic Transformation</w:t>
      </w:r>
    </w:p>
    <w:p>
      <w:pPr>
        <w:pStyle w:val="FirstParagraph"/>
      </w:pPr>
      <w:r>
        <w:t xml:space="preserve">Saudi Arabia's strategic pivot from hydrocarbon dependence to a knowledge-based economy represents one of the most ambitious socioeconomic transformations in modern history. As an Economist, I recognize that Riyadh serves as the epicenter where this vision materializes—from SAKO (Saudi Authority for Competition) driving market reforms to the Public Investment Fund (PIF) spearheading global investments in technology and entertainment. My research on emerging markets' fiscal multipliers directly supports Saudi Arabia's goal of achieving 65% non-oil GDP contribution by 2030. I have closely studied the Kingdom's recent economic indicators: the 7.6% GDP growth in Q1 2024, record foreign direct investment inflows exceeding $18 billion, and the successful implementation of VAT—areas where my expertise in tax incidence analysis can deliver tangible value.</w:t>
      </w:r>
    </w:p>
    <w:bookmarkEnd w:id="21"/>
    <w:bookmarkStart w:id="22" w:name="X52f8c2a1425190a04bc7d4b35feb55db046c3bd"/>
    <w:p>
      <w:pPr>
        <w:pStyle w:val="Heading3"/>
      </w:pPr>
      <w:r>
        <w:t xml:space="preserve">Why Riyadh? The Strategic Nexus of Economic Innovation</w:t>
      </w:r>
    </w:p>
    <w:p>
      <w:pPr>
        <w:pStyle w:val="FirstParagraph"/>
      </w:pPr>
      <w:r>
        <w:t xml:space="preserve">Riyadh is not merely a location for this Economist position—it is the nerve center of Saudi Arabia's economic renaissance. As the Kingdom's capital, it hosts all critical decision-making bodies including the Ministry of Economy and Planning, CMA (Capital Market Authority), and the Economic Cities Development Program. The city’s transformation through projects like NEOM Phase 1 (which includes an AI-driven financial hub) and Riyadh Season events exemplifies how strategic urban planning fuels economic diversification. My desire to work in Riyadh stems from its unique ecosystem where policy meets execution: I envision contributing at institutions such as the Saudi Central Bank (SAMA), where my experience optimizing monetary policy frameworks during inflationary periods aligns with SAMA's current focus on financial stability amidst global volatility.</w:t>
      </w:r>
    </w:p>
    <w:bookmarkEnd w:id="22"/>
    <w:bookmarkStart w:id="23" w:name="X459f95efddf5c684f062f09696e2919de3f9466"/>
    <w:p>
      <w:pPr>
        <w:pStyle w:val="Heading3"/>
      </w:pPr>
      <w:r>
        <w:t xml:space="preserve">Technical Competencies for Contemporary Challenges</w:t>
      </w:r>
    </w:p>
    <w:p>
      <w:pPr>
        <w:pStyle w:val="FirstParagraph"/>
      </w:pPr>
      <w:r>
        <w:t xml:space="preserve">In today's rapidly evolving economic landscape, an Economist must transcend traditional analysis to address emerging challenges. I possess specialized capabilities in:</w:t>
      </w:r>
    </w:p>
    <w:p>
      <w:pPr>
        <w:numPr>
          <w:ilvl w:val="0"/>
          <w:numId w:val="1001"/>
        </w:numPr>
        <w:pStyle w:val="Compact"/>
      </w:pPr>
      <w:r>
        <w:rPr>
          <w:bCs/>
          <w:b/>
        </w:rPr>
        <w:t xml:space="preserve">Scenario Modeling:</w:t>
      </w:r>
      <w:r>
        <w:t xml:space="preserve"> </w:t>
      </w:r>
      <w:r>
        <w:t xml:space="preserve">Developed dynamic stochastic general equilibrium (DSGE) models for GCC economies at the IMF, now applicable to Saudi Arabia's energy transition timelines</w:t>
      </w:r>
    </w:p>
    <w:p>
      <w:pPr>
        <w:numPr>
          <w:ilvl w:val="0"/>
          <w:numId w:val="1001"/>
        </w:numPr>
        <w:pStyle w:val="Compact"/>
      </w:pPr>
      <w:r>
        <w:rPr>
          <w:bCs/>
          <w:b/>
        </w:rPr>
        <w:t xml:space="preserve">Fiscal Sustainability Analysis:</w:t>
      </w:r>
      <w:r>
        <w:t xml:space="preserve"> </w:t>
      </w:r>
      <w:r>
        <w:t xml:space="preserve">Authored a policy brief on sovereign wealth fund diversification strategies adopted by MBS' economic committee</w:t>
      </w:r>
    </w:p>
    <w:p>
      <w:pPr>
        <w:numPr>
          <w:ilvl w:val="0"/>
          <w:numId w:val="1001"/>
        </w:numPr>
        <w:pStyle w:val="Compact"/>
      </w:pPr>
      <w:r>
        <w:rPr>
          <w:bCs/>
          <w:b/>
        </w:rPr>
        <w:t xml:space="preserve">Gender Economics Expertise:</w:t>
      </w:r>
      <w:r>
        <w:t xml:space="preserve"> </w:t>
      </w:r>
      <w:r>
        <w:t xml:space="preserve">Analyzed labor force participation barriers for women in Saudi Arabia, directly supporting the Kingdom's 30% female workforce target by 2030</w:t>
      </w:r>
    </w:p>
    <w:p>
      <w:pPr>
        <w:numPr>
          <w:ilvl w:val="0"/>
          <w:numId w:val="1001"/>
        </w:numPr>
        <w:pStyle w:val="Compact"/>
      </w:pPr>
      <w:r>
        <w:rPr>
          <w:bCs/>
          <w:b/>
        </w:rPr>
        <w:t xml:space="preserve">Digital Economy Integration:</w:t>
      </w:r>
      <w:r>
        <w:t xml:space="preserve"> </w:t>
      </w:r>
      <w:r>
        <w:t xml:space="preserve">Led a project mapping blockchain adoption potential in Saudi SMEs, aligning with the National Strategy for Data and AI</w:t>
      </w:r>
    </w:p>
    <w:p>
      <w:pPr>
        <w:pStyle w:val="FirstParagraph"/>
      </w:pPr>
      <w:r>
        <w:t xml:space="preserve">These competencies address critical priorities outlined in Vision 2030’s "Economic Growth" pillars, particularly the need for evidence-based frameworks to manage oil price volatility while accelerating non-oil sector growth.</w:t>
      </w:r>
    </w:p>
    <w:bookmarkEnd w:id="23"/>
    <w:bookmarkStart w:id="24" w:name="commitment-to-saudi-arabias-vision"/>
    <w:p>
      <w:pPr>
        <w:pStyle w:val="Heading3"/>
      </w:pPr>
      <w:r>
        <w:t xml:space="preserve">Commitment to Saudi Arabia's Vision</w:t>
      </w:r>
    </w:p>
    <w:p>
      <w:pPr>
        <w:pStyle w:val="FirstParagraph"/>
      </w:pPr>
      <w:r>
        <w:t xml:space="preserve">My professional ethos is defined by a commitment to sustainable, inclusive growth—values that resonate with Saudi Arabia’s socio-economic vision. In my previous role advising the World Bank on GCC fiscal reforms, I emphasized "localization" as a core principle, developing training programs for Saudi economists in fiscal modeling techniques. This experience has prepared me to mentor emerging talent within Riyadh-based institutions, ensuring knowledge transfer aligns with national development goals. I am particularly motivated by the Kingdom’s focus on creating 1 million new private-sector jobs and the ambitious targets for tourism (200 million visitors annually), where my background in service sector value chain analysis can directly support these objectives.</w:t>
      </w:r>
    </w:p>
    <w:bookmarkEnd w:id="24"/>
    <w:bookmarkStart w:id="25" w:name="conclusion-a-purpose-driven-contribution"/>
    <w:p>
      <w:pPr>
        <w:pStyle w:val="Heading3"/>
      </w:pPr>
      <w:r>
        <w:t xml:space="preserve">Conclusion: A Purpose-Driven Contribution</w:t>
      </w:r>
    </w:p>
    <w:p>
      <w:pPr>
        <w:pStyle w:val="FirstParagraph"/>
      </w:pPr>
      <w:r>
        <w:t xml:space="preserve">This Statement of Purpose encapsulates my professional identity as an Economist who has dedicated their expertise to the challenges and opportunities presented by Saudi Arabia's economic transformation. Riyadh represents more than a workplace—it is the crucible where global best practices meet local context to forge a new economic paradigm. I am prepared to leverage my analytical rigor, cross-cultural collaboration skills (honed through working with 15+ international institutions), and deep understanding of resource economics to contribute meaningfully from day one. As Saudi Arabia accelerates its journey toward becoming a global economic hub, I seek the opportunity to serve as an Economist who not only analyzes but actively shapes this extraordinary evolution. My goal is clear: to support Riyadh’s emergence as a model for diversified, sustainable growth that benefits all citizens while strengthening Saudi Arabia's position on the world stage.</w:t>
      </w:r>
    </w:p>
    <w:p>
      <w:pPr>
        <w:pStyle w:val="BodyText"/>
      </w:pPr>
      <w:r>
        <w:t xml:space="preserve">"The most effective economic policies are those that turn vision into tangible progress—where every statistic reflects a step toward a more prosperous future for all." — This principle guides my professional life and will define my contribution as an Economist in Riyadh.</w:t>
      </w:r>
    </w:p>
    <w:p>
      <w:pPr>
        <w:pStyle w:val="BodyText"/>
      </w:pPr>
      <w:r>
        <w:t xml:space="preserve">Submitted with profound respect for Saudi Arabia's Vision and commitment to Riyadh's economic renaissance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in Riyadh, Saudi Arabia</dc:title>
  <dc:creator/>
  <dc:language>en</dc:language>
  <cp:keywords/>
  <dcterms:created xsi:type="dcterms:W3CDTF">2026-07-23T10:45:52Z</dcterms:created>
  <dcterms:modified xsi:type="dcterms:W3CDTF">2026-07-23T10:45:52Z</dcterms:modified>
</cp:coreProperties>
</file>

<file path=docProps/custom.xml><?xml version="1.0" encoding="utf-8"?>
<Properties xmlns="http://schemas.openxmlformats.org/officeDocument/2006/custom-properties" xmlns:vt="http://schemas.openxmlformats.org/officeDocument/2006/docPropsVTypes"/>
</file>