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Kazakhstan</w:t>
      </w:r>
      <w:r>
        <w:t xml:space="preserve"> </w:t>
      </w:r>
      <w:r>
        <w:t xml:space="preserve">Almaty</w:t>
      </w:r>
    </w:p>
    <w:bookmarkStart w:id="26" w:name="X2cf96949ba751e0c483e1161e4e66301c1134e1"/>
    <w:p>
      <w:pPr>
        <w:pStyle w:val="Heading1"/>
      </w:pPr>
      <w:r>
        <w:t xml:space="preserve">Statement of Purpose: Pursuing an Education Administrator Role in Kazakhstan Almaty</w:t>
      </w:r>
    </w:p>
    <w:p>
      <w:pPr>
        <w:pStyle w:val="FirstParagraph"/>
      </w:pPr>
      <w:r>
        <w:t xml:space="preserve">In the vibrant heart of Central Asia, where ancient Silk Road traditions merge with modern aspirations, lies my professional calling: to serve as an Education Administrator within Kazakhstan's dynamic educational landscape, specifically in the cosmopolitan city of Almaty. This Statement of Purpose articulates my unwavering commitment to transforming educational systems through culturally responsive leadership, aligning with Kazakhstan's strategic vision for academic excellence and its position as a regional hub for innovation. Having dedicated over a decade to education reform across diverse contexts—from urban centers in Southeast Asia to multicultural schools in the United States—I have identified Almaty as the pivotal arena where my expertise can directly advance national educational goals while honoring the region's unique cultural tapestry.</w:t>
      </w:r>
    </w:p>
    <w:bookmarkStart w:id="20" w:name="X895164885cf422eaf18c851e553e4fda34da62a"/>
    <w:p>
      <w:pPr>
        <w:pStyle w:val="Heading2"/>
      </w:pPr>
      <w:r>
        <w:t xml:space="preserve">Foundational Commitment: Bridging Global Best Practices and Local Context</w:t>
      </w:r>
    </w:p>
    <w:p>
      <w:pPr>
        <w:pStyle w:val="FirstParagraph"/>
      </w:pPr>
      <w:r>
        <w:t xml:space="preserve">My academic journey began with a Master of Education in International School Leadership from the University of Melbourne, where I specialized in cross-cultural educational policy. My thesis, "Decentralized Governance Models for Inclusive Education in Post-Soviet States," analyzed Kazakhstan's 2019 education reforms and identified critical gaps in teacher support systems and rural-urban resource allocation. This research was not theoretical; it culminated in a field project with the Astana-based NGO "EduBridge," where I co-designed a pilot program for digital literacy training across 15 schools in Almaty's southern districts. Witnessing firsthand how locally adapted solutions—such as integrating Kazakh language narratives into STEM curricula—boosted student engagement by 37% solidified my conviction that effective education administration must be rooted in community-specific insights, not imported blueprints.</w:t>
      </w:r>
    </w:p>
    <w:bookmarkEnd w:id="20"/>
    <w:bookmarkStart w:id="21" w:name="X69cb61e22e7d27a45bcb015778ab20179de19b1"/>
    <w:p>
      <w:pPr>
        <w:pStyle w:val="Heading2"/>
      </w:pPr>
      <w:r>
        <w:t xml:space="preserve">Professional Evolution: From Classroom to Systemic Leadership</w:t>
      </w:r>
    </w:p>
    <w:p>
      <w:pPr>
        <w:pStyle w:val="FirstParagraph"/>
      </w:pPr>
      <w:r>
        <w:t xml:space="preserve">As Director of Academic Operations at the International School of Southeast Asia (ISEA), I spearheaded a 3-year initiative to modernize curriculum frameworks while preserving local cultural identity. This required navigating complex stakeholder landscapes—parent associations, government education departments, and international accreditation bodies—to align school practices with national standards. One pivotal achievement was securing $250,000 in grants to establish Almaty's first bilingual early childhood development center in partnership with the Kazakh Ministry of Education (2021–2023). This project directly addressed Kazakhstan's "Education 2035" strategy by embedding Kazakh cultural heritage into play-based learning, a model now being replicated across 8 districts. My work there taught me that education administration transcends logistics; it is about cultivating ecosystems where policy becomes lived experience.</w:t>
      </w:r>
    </w:p>
    <w:bookmarkEnd w:id="21"/>
    <w:bookmarkStart w:id="22" w:name="Xc596229c900a400feccc8a00b754bec33355638"/>
    <w:p>
      <w:pPr>
        <w:pStyle w:val="Heading2"/>
      </w:pPr>
      <w:r>
        <w:t xml:space="preserve">Why Kazakhstan Almaty? A Convergence of Opportunity and Responsibility</w:t>
      </w:r>
    </w:p>
    <w:p>
      <w:pPr>
        <w:pStyle w:val="FirstParagraph"/>
      </w:pPr>
      <w:r>
        <w:t xml:space="preserve">Kazakhstan's ambition to become a "global knowledge economy leader" resonates deeply with my professional ethos. Almaty, as the nation's educational epicenter and a UNESCO Creative City of Literature, offers an unparalleled laboratory for innovation. The city’s rapid growth—projected to host 3 million residents by 2030—demands education systems that are agile, equitable, and forward-thinking: precisely where I aim to contribute. Unlike static bureaucratic environments elsewhere, Almaty’s educational ecosystem thrives on collaboration between state institutions (like the National Center for Education Quality Assessment), private universities (e.g., Nazarbayev University), and grassroots NGOs. This dynamic interplay mirrors my own philosophy that transformation occurs at the intersection of policy, practice, and community. I am particularly inspired by Kazakhstan’s recent emphasis on "digital education" in its national strategy—a priority where my expertise in AI-driven student analytics can directly support Almaty's goal to become Central Asia's tech-education hub.</w:t>
      </w:r>
    </w:p>
    <w:bookmarkEnd w:id="22"/>
    <w:bookmarkStart w:id="23" w:name="X751ab1e5b7af25b07d441f848ab100aa629f757"/>
    <w:p>
      <w:pPr>
        <w:pStyle w:val="Heading2"/>
      </w:pPr>
      <w:r>
        <w:t xml:space="preserve">Strategic Vision: Elevating Education Administration as a Catalyst for National Development</w:t>
      </w:r>
    </w:p>
    <w:p>
      <w:pPr>
        <w:pStyle w:val="FirstParagraph"/>
      </w:pPr>
      <w:r>
        <w:t xml:space="preserve">As an Education Administrator in Kazakhstan Almaty, I will operationalize three core pillars. First, **cultural intelligence**—developing training modules for school leaders on integrating Kazakh history and oral traditions into modern pedagogy without diluting academic rigor. Second, **data-driven equity**—implementing AI tools (adapted to local contexts) to identify resource gaps in underserved neighborhoods like Zhetisu or Alatau districts, ensuring every child accesses quality education regardless of geography. Third, **public-private synergy**—forging partnerships with Almaty's burgeoning tech sector (e.g., IT parks in the Bayterek district) to create internship pathways that align curriculum with emerging industry needs. My proposal for a "Digital Learning Nexus" model, currently under discussion with the Almaty Regional Education Department, exemplifies this: a shared platform connecting schools, universities, and local businesses to co-create real-world learning projects.</w:t>
      </w:r>
    </w:p>
    <w:bookmarkEnd w:id="23"/>
    <w:bookmarkStart w:id="24" w:name="X3b59d8c6aa1a534a3a746e5dc396606bcdb42dc"/>
    <w:p>
      <w:pPr>
        <w:pStyle w:val="Heading2"/>
      </w:pPr>
      <w:r>
        <w:t xml:space="preserve">Alignment with National Priorities and Personal Ethos</w:t>
      </w:r>
    </w:p>
    <w:p>
      <w:pPr>
        <w:pStyle w:val="FirstParagraph"/>
      </w:pPr>
      <w:r>
        <w:t xml:space="preserve">Kazakhstan’s "Nurly Zhol" (Bright Path) economic program explicitly links education to national prosperity. My work at ISEA directly supported this by training 450+ teachers in competency-based assessment—reducing regional disparities in standardized test scores by 28% within two years. In Kazakhstan, where 68% of the population is under 35, such progress isn't merely educational; it’s economic and social imperative. My personal journey further aligns with Kazakh values: as a third-generation immigrant who mastered Kazakh language and culture during my fieldwork, I embody the spirit of *qazaq dastan* (Kazakh storytelling) by weaving community narratives into systemic change. This is not about "foreign expertise" but mutual learning—a principle I’ve lived through volunteering with the Almaty-based "Kyz Zhibek" youth initiative to mentor girls in STEM fields.</w:t>
      </w:r>
    </w:p>
    <w:bookmarkEnd w:id="24"/>
    <w:bookmarkStart w:id="25" w:name="X39aa9953650109d57972e70aa3c59849aedd9ed"/>
    <w:p>
      <w:pPr>
        <w:pStyle w:val="Heading2"/>
      </w:pPr>
      <w:r>
        <w:t xml:space="preserve">Conclusion: A Lifelong Commitment to Educational Equity</w:t>
      </w:r>
    </w:p>
    <w:p>
      <w:pPr>
        <w:pStyle w:val="FirstParagraph"/>
      </w:pPr>
      <w:r>
        <w:t xml:space="preserve">This Statement of Purpose is more than an application; it is a pledge. I do not seek merely a position as an Education Administrator in Kazakhstan Almaty—I seek to become an architect of its educational future. Having witnessed how quality education lifts entire communities from poverty, I am driven by the vision that every child in Almaty deserves access to learning that honors their heritage while preparing them for tomorrow’s world. Kazakhstan stands at a transformative moment, and my skills in systemic reform, cultural adaptation, and stakeholder collaboration position me to advance your national mission with urgency and integrity. I am ready to bring my global perspective not as an outsider, but as a committed partner invested in Almaty’s legacy as Central Asia's beacon of educational excellence. Together, we will build systems where every student’s potential becomes Kazakhstan's prosperity.</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Kazakhstan Almaty</dc:title>
  <dc:creator/>
  <dc:language>en</dc:language>
  <cp:keywords/>
  <dcterms:created xsi:type="dcterms:W3CDTF">2026-07-23T07:44:47Z</dcterms:created>
  <dcterms:modified xsi:type="dcterms:W3CDTF">2026-07-23T07:44:47Z</dcterms:modified>
</cp:coreProperties>
</file>

<file path=docProps/custom.xml><?xml version="1.0" encoding="utf-8"?>
<Properties xmlns="http://schemas.openxmlformats.org/officeDocument/2006/custom-properties" xmlns:vt="http://schemas.openxmlformats.org/officeDocument/2006/docPropsVTypes"/>
</file>