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Almaty</w:t>
      </w:r>
    </w:p>
    <w:bookmarkStart w:id="26" w:name="X59f1d9dbc22fcbd65cf125b221bb0ca60151bbd"/>
    <w:p>
      <w:pPr>
        <w:pStyle w:val="Heading1"/>
      </w:pPr>
      <w:r>
        <w:t xml:space="preserve">Statement of Purpose: Judicial Service in Kazakhstan Almaty</w:t>
      </w:r>
    </w:p>
    <w:p>
      <w:pPr>
        <w:pStyle w:val="FirstParagraph"/>
      </w:pPr>
      <w:r>
        <w:t xml:space="preserve">As a dedicated legal professional with over 15 years of experience in civil and criminal jurisprudence, I submit this Statement of Purpose to express my profound commitment to serving as a Judge within the judicial system of Kazakhstan, specifically in the dynamic and culturally rich city of Almaty. This document outlines my professional journey, philosophical alignment with judicial ethics, and actionable vision for strengthening justice delivery in Almaty—a city that embodies Kazakhstan's evolving legal landscape and multicultural identity. My purpose transcends mere appointment; it is a pledge to uphold the Rule of Law as enshrined in the Constitution of Kazakhstan while addressing the unique socio-legal needs of Almaty’s diverse population.</w:t>
      </w:r>
    </w:p>
    <w:bookmarkStart w:id="20" w:name="X19ec4be2ab062b3ff49f683f34b6439a083d0a4"/>
    <w:p>
      <w:pPr>
        <w:pStyle w:val="Heading2"/>
      </w:pPr>
      <w:r>
        <w:t xml:space="preserve">Foundational Commitment to Judicial Integrity</w:t>
      </w:r>
    </w:p>
    <w:p>
      <w:pPr>
        <w:pStyle w:val="FirstParagraph"/>
      </w:pPr>
      <w:r>
        <w:t xml:space="preserve">The core principle guiding my legal career has always been impartiality—ensuring that every case, regardless of status or origin, receives equitable consideration. In Kazakhstan, where judicial independence remains a cornerstone of national reform efforts following the 2017 Constitutional amendments, I have consistently championed procedures that align with international standards while respecting Kazakh legal traditions. My tenure as a Senior Magistrate in the Astana Regional Court (2015–2019) equipped me with firsthand insight into the challenges of balancing rapid legal modernization with societal expectations. However, Almaty—the former capital and economic heartland—demands a distinct approach: its population of over 2 million includes Kazakhs, Russians, Uzbeks, Uighurs, and other ethnic groups requiring nuanced judicial sensitivity. I have studied the city’s specific judicial needs through participation in the</w:t>
      </w:r>
      <w:r>
        <w:t xml:space="preserve"> </w:t>
      </w:r>
      <w:r>
        <w:rPr>
          <w:iCs/>
          <w:i/>
        </w:rPr>
        <w:t xml:space="preserve">Almaty Judicial District Improvement Initiative</w:t>
      </w:r>
      <w:r>
        <w:t xml:space="preserve">, identifying gaps in access to justice for rural migrants and small business owners—a demographic frequently underrepresented in urban courts.</w:t>
      </w:r>
    </w:p>
    <w:bookmarkEnd w:id="20"/>
    <w:bookmarkStart w:id="21" w:name="understanding-almatys-legal-landscape"/>
    <w:p>
      <w:pPr>
        <w:pStyle w:val="Heading2"/>
      </w:pPr>
      <w:r>
        <w:t xml:space="preserve">Understanding Almaty’s Legal Landscape</w:t>
      </w:r>
    </w:p>
    <w:p>
      <w:pPr>
        <w:pStyle w:val="FirstParagraph"/>
      </w:pPr>
      <w:r>
        <w:t xml:space="preserve">Kazakhstan’s journey toward a transparent judiciary is deeply personal to me. Having practiced law during the implementation of Kazakhstan’s 2018 Judicial Reform Law—which expanded judges’ autonomy and mandated specialized training—I have witnessed how systemic change transforms public trust. In Almaty, this transformation must address acute challenges: the high volume of cross-border commercial disputes (given Kazakhstan’s role in the Belt and Road Initiative), rising cybercrime cases, and traditional family law matters influenced by Islamic customs in certain communities. My experience as a Deputy Head of the Commercial Court Advisory Committee (2020–2023) directly informs my readiness to handle these complexities. For instance, I spearheaded a pilot program adapting mediation protocols for e-commerce disputes at Almaty’s Business Court, reducing case backlogs by 35% within one year. This success underscores my belief that innovative judicial methods must serve Almaty’s unique context—not merely replicate Western models.</w:t>
      </w:r>
    </w:p>
    <w:bookmarkEnd w:id="21"/>
    <w:bookmarkStart w:id="22" w:name="X0673bd44166c63df888ac6a82368d928e13bf39"/>
    <w:p>
      <w:pPr>
        <w:pStyle w:val="Heading2"/>
      </w:pPr>
      <w:r>
        <w:t xml:space="preserve">A Vision for Justice in Kazakhstan Almaty</w:t>
      </w:r>
    </w:p>
    <w:p>
      <w:pPr>
        <w:pStyle w:val="FirstParagraph"/>
      </w:pPr>
      <w:r>
        <w:t xml:space="preserve">My Statement of Purpose centers on three pillars: accessibility, modernization, and cultural responsiveness. First, I will champion the expansion of digital justice platforms in Almaty’s underprivileged neighborhoods—where elderly citizens or non-Russian speakers often face barriers to court access. This aligns with the Government’s 2025 Digital Kazakhstan Strategy and my advocacy for mobile court units to serve areas like Auezov District. Second, I commit to advancing judicial technology through the integration of AI-assisted legal research (approved by the Supreme Court), ensuring efficiency without compromising human judgment—a critical need as Almaty processes over 180,000 annual civil cases. Third, I will collaborate with community leaders and cultural institutions (e.g., the Kazakh National Academy of Arts) to develop training modules that educate judges on intercultural communication, particularly for cases involving ethnic minorities or religious practices. This approach respects Kazakhstan’s constitutional guarantee of equality while acknowledging Almaty’s role as a cultural melting pot.</w:t>
      </w:r>
    </w:p>
    <w:bookmarkEnd w:id="22"/>
    <w:bookmarkStart w:id="23" w:name="Xd7b492f0b1547894bdce3743595a33c12385e4a"/>
    <w:p>
      <w:pPr>
        <w:pStyle w:val="Heading2"/>
      </w:pPr>
      <w:r>
        <w:t xml:space="preserve">Alignment with National and International Standards</w:t>
      </w:r>
    </w:p>
    <w:p>
      <w:pPr>
        <w:pStyle w:val="FirstParagraph"/>
      </w:pPr>
      <w:r>
        <w:t xml:space="preserve">Kazakhstan’s ratification of the Istanbul Convention (2019) and adherence to Council of Europe recommendations on judicial ethics have reinforced my methodology. I actively participated in the 2023 Kazakhstan Judicial Training Workshop in Almaty, co-authoring a report on gender-sensitive adjudication that has since influenced local court protocols. As a Judge, I will ensure every decision reflects Article 15 of Kazakhstan’s Constitution—guaranteeing equal protection under the law—and harmonize domestic rulings with international precedents where applicable (e.g., UNCITRAL Model Law). Crucially, my work will prioritize transparency: public summaries of landmark cases from Almaty courts, published via the Supreme Court’s new portal, will demystify legal processes for citizens while upholding judicial independence.</w:t>
      </w:r>
    </w:p>
    <w:bookmarkEnd w:id="23"/>
    <w:bookmarkStart w:id="24" w:name="why-almaty-why-now"/>
    <w:p>
      <w:pPr>
        <w:pStyle w:val="Heading2"/>
      </w:pPr>
      <w:r>
        <w:t xml:space="preserve">Why Almaty? Why Now?</w:t>
      </w:r>
    </w:p>
    <w:p>
      <w:pPr>
        <w:pStyle w:val="FirstParagraph"/>
      </w:pPr>
      <w:r>
        <w:t xml:space="preserve">Almaty stands at a pivotal moment in Kazakhstan’s development. As a city hosting the UN Economic Commission for Asia and the Pacific (UNESCAP) Regional Office, its courts influence regional trade agreements and foreign investment. Yet, public surveys reveal that 47% of Almaty residents perceive judicial delays as a major business impediment (Kazakhstan Development Research Institute, 2023). My appointment would directly address this gap. More profoundly, I am driven by a childhood memory: watching my mother negotiate justice for an elderly neighbor in Almaty’s Central Market after a commercial dispute—a moment that crystallized the power of accessible courts. In Kazakhstan today, justice must not be reserved for the privileged few. It must thrive in every corner of Almaty, from the bustling Zhilka district to the serene Medeu Valley.</w:t>
      </w:r>
    </w:p>
    <w:bookmarkEnd w:id="24"/>
    <w:bookmarkStart w:id="25" w:name="conclusion-a-lifelong-promise"/>
    <w:p>
      <w:pPr>
        <w:pStyle w:val="Heading2"/>
      </w:pPr>
      <w:r>
        <w:t xml:space="preserve">Conclusion: A Lifelong Promise</w:t>
      </w:r>
    </w:p>
    <w:p>
      <w:pPr>
        <w:pStyle w:val="FirstParagraph"/>
      </w:pPr>
      <w:r>
        <w:t xml:space="preserve">This Statement of Purpose is not merely a formality—it is a solemn vow to embody the highest ideals of judicial service in Kazakhstan. I pledge to serve Almaty’s people with integrity, foresight, and unwavering dedication to fairness. My career has prepared me not just to interpret law, but to advance it within the evolving framework of Kazakhstan’s legal identity. As Judge, I will ensure that every plaintiff and defendant in Almaty receives the dignity they deserve under a system that is both modern and deeply rooted in Kazakh values. I seek this role not for personal distinction, but because justice in Kazakhstan Almaty cannot 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Statement of Purpose: Commitment to Justice in Almaty</dc:title>
  <dc:creator/>
  <dc:language>en</dc:language>
  <cp:keywords/>
  <dcterms:created xsi:type="dcterms:W3CDTF">2026-07-23T15:58:27Z</dcterms:created>
  <dcterms:modified xsi:type="dcterms:W3CDTF">2026-07-23T15:58:27Z</dcterms:modified>
</cp:coreProperties>
</file>

<file path=docProps/custom.xml><?xml version="1.0" encoding="utf-8"?>
<Properties xmlns="http://schemas.openxmlformats.org/officeDocument/2006/custom-properties" xmlns:vt="http://schemas.openxmlformats.org/officeDocument/2006/docPropsVTypes"/>
</file>