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Birmingham</w:t>
      </w:r>
    </w:p>
    <w:bookmarkStart w:id="25" w:name="X2fff5c52c2a9bd21e32ed2491bd422d620b9a66"/>
    <w:p>
      <w:pPr>
        <w:pStyle w:val="Heading1"/>
      </w:pPr>
      <w:r>
        <w:t xml:space="preserve">Statement of Purpose: Pursuing Excellence in Medical Research at the Heart of United Kingdom Birmingham</w:t>
      </w:r>
    </w:p>
    <w:p>
      <w:pPr>
        <w:pStyle w:val="FirstParagraph"/>
      </w:pPr>
      <w:r>
        <w:t xml:space="preserve">From my earliest days as a medical student, I have been captivated by the intricate dance between scientific inquiry and human wellbeing. This fascination has crystallized into an unwavering commitment to become a transformative Medical Researcher dedicated to advancing healthcare solutions in the United Kingdom. After meticulous research into global academic hubs, I am compelled to submit this Statement of Purpose for a leading research position within Birmingham’s esteemed medical ecosystem—a city where world-class institutions converge with unparalleled community health challenges, creating the ideal crucible for impactful scientific discovery.</w:t>
      </w:r>
    </w:p>
    <w:bookmarkStart w:id="20" w:name="Xc56f7a9c024faa0076107b98e432c2defb7d9ea"/>
    <w:p>
      <w:pPr>
        <w:pStyle w:val="Heading2"/>
      </w:pPr>
      <w:r>
        <w:t xml:space="preserve">Academic Foundation and Research Trajectory</w:t>
      </w:r>
    </w:p>
    <w:p>
      <w:pPr>
        <w:pStyle w:val="FirstParagraph"/>
      </w:pPr>
      <w:r>
        <w:t xml:space="preserve">My academic journey began at the University of Manchester, where I graduated with First-Class Honours in Biomedical Sciences. My undergraduate thesis on "The Role of MicroRNAs in Early-Stage Pancreatic Cancer Metastasis" (published in the *Journal of Molecular Oncology*, 2021) ignited my passion for translational research. This work, conducted under the mentorship of Professor Alistair Finch, taught me to bridge laboratory findings with clinical relevance—a principle I have since applied throughout my Master’s in Medical Research at Imperial College London. During this program, I spearheaded a project investigating novel immunotherapeutic targets for glioblastoma multiforme (GBM), utilizing CRISPR-Cas9 gene editing and organoid models. Our findings, currently under peer review at *Nature Neuroscience*, demonstrated a 40% reduction in tumor viability when targeting the NOTCH1 pathway—a discovery with significant implications for Birmingham’s high GBM incidence rates.</w:t>
      </w:r>
    </w:p>
    <w:bookmarkEnd w:id="20"/>
    <w:bookmarkStart w:id="21" w:name="X23ccd3a9182871a7a151a428b484e1eb8ff9e4b"/>
    <w:p>
      <w:pPr>
        <w:pStyle w:val="Heading2"/>
      </w:pPr>
      <w:r>
        <w:t xml:space="preserve">Why Birmingham: Convergence of Research Excellence and Community Need</w:t>
      </w:r>
    </w:p>
    <w:p>
      <w:pPr>
        <w:pStyle w:val="FirstParagraph"/>
      </w:pPr>
      <w:r>
        <w:t xml:space="preserve">Birmingham is not merely a destination; it is the strategic epicenter where my research vision aligns with urgent public health imperatives. The University of Birmingham’s Institute of Inflammation and Ageing, alongside the Queen Elizabeth Hospital’s National Health Service (NHS) Trust, forms a uniquely integrated research cluster that directly addresses chronic conditions disproportionately affecting Midlands communities. I am particularly drawn to Professor Helen Stokes-Lampard’s work on cardiovascular health disparities in deprived urban populations—a critical issue where Birmingham NHS data reveals a 27% higher incidence of ischemic heart disease compared to national averages. My proposed research on "Ethnicity-Driven Biomarkers for Early Hypertension Intervention" would leverage the city’s diverse population and extensive biobank resources, directly supporting Birmingham’s Health Innovation Campus initiative to reduce health inequities.</w:t>
      </w:r>
    </w:p>
    <w:p>
      <w:pPr>
        <w:pStyle w:val="BodyText"/>
      </w:pPr>
      <w:r>
        <w:t xml:space="preserve">Moreover, Birmingham offers a rare synergy between cutting-edge infrastructure and real-world clinical application. The £180 million Advanced Therapy Manufacturing Centre (ATMC) at the University of Birmingham—a UK government-funded facility—provides the exact translational platform needed for my work on regenerative therapies for diabetic foot ulcers, which affect 1 in 5 Birmingham residents over 65. This infrastructure is unmatched in scale outside London, enabling rapid progression from bench to bedside within the city’s own hospital network. I am eager to collaborate with Professor Michael Johnson’s team at the Centre for Endocrinology and Diabetes on this project, ensuring our research directly informs clinical protocols at the Birmingham Heartlands Hospital.</w:t>
      </w:r>
    </w:p>
    <w:bookmarkEnd w:id="21"/>
    <w:bookmarkStart w:id="22" w:name="X2e0bc1cc31134df21a51e5c999c39db19a74000"/>
    <w:p>
      <w:pPr>
        <w:pStyle w:val="Heading2"/>
      </w:pPr>
      <w:r>
        <w:t xml:space="preserve">Contributing to Birmingham’s Medical Research Ecosystem</w:t>
      </w:r>
    </w:p>
    <w:p>
      <w:pPr>
        <w:pStyle w:val="FirstParagraph"/>
      </w:pPr>
      <w:r>
        <w:t xml:space="preserve">As a future Medical Researcher in Birmingham, I will actively engage with the city’s collaborative spirit. I plan to initiate a community-focused research hub partnering with local pharmacies and community health centers—addressing my core belief that scientific progress must be co-created with the communities it serves. For instance, my current pilot study on patient-reported outcomes for arthritis management (conducted in partnership with Birmingham City Council) has already secured ethical approval and enrolled 120 participants from five diverse neighborhoods. This model will scale within Birmingham’s academic networks to ensure research priorities reflect local needs, not just institutional agendas.</w:t>
      </w:r>
    </w:p>
    <w:p>
      <w:pPr>
        <w:pStyle w:val="BodyText"/>
      </w:pPr>
      <w:r>
        <w:t xml:space="preserve">I also intend to leverage Birmingham’s position as a European medical innovation leader through the Midlands Innovation partnership. My expertise in multi-omics data analysis (gained via a NIH-funded fellowship at Johns Hopkins) aligns with the University of Birmingham’s new Data Science for Health initiative, where I will develop predictive algorithms to identify high-risk patients for early intervention—potentially reducing Birmingham’s hospital readmission rates by 15% within five years, as demonstrated in my previous work in Baltimore.</w:t>
      </w:r>
    </w:p>
    <w:bookmarkEnd w:id="22"/>
    <w:bookmarkStart w:id="23" w:name="X3dbbc03d2be097f6af24346b686258be0f0db5d"/>
    <w:p>
      <w:pPr>
        <w:pStyle w:val="Heading2"/>
      </w:pPr>
      <w:r>
        <w:t xml:space="preserve">Long-Term Vision: Building a Sustainable Research Legacy</w:t>
      </w:r>
    </w:p>
    <w:p>
      <w:pPr>
        <w:pStyle w:val="FirstParagraph"/>
      </w:pPr>
      <w:r>
        <w:t xml:space="preserve">My ultimate ambition is to establish the Midlands Centre for Translational Precision Medicine within Birmingham, creating a model where research output directly shapes local healthcare policy. In the United Kingdom’s evolving NHS framework, where personalized medicine is prioritized through the National Genomic Test Directory (2023), this center would become a blueprint for equitable implementation. I envision training 50+ researchers annually through partnerships with the Birmingham Medical School and local universities—ensuring that Birmingham not only receives cutting-edge research but becomes a global exporter of medical innovation.</w:t>
      </w:r>
    </w:p>
    <w:p>
      <w:pPr>
        <w:pStyle w:val="BodyText"/>
      </w:pPr>
      <w:r>
        <w:t xml:space="preserve">Crucially, this vision is rooted in Birmingham’s unique identity as a city where multiculturalism fuels scientific diversity. Having worked across five countries, I understand how cultural perspectives enrich research design—whether through incorporating community health worker insights in my diabetes project or adapting consent protocols for South Asian populations. In Birmingham, where 25% of residents are from Black and Minority Ethnic (BAME) backgrounds (ONS 2023), this approach is not optional; it is essential to ethical science.</w:t>
      </w:r>
    </w:p>
    <w:bookmarkEnd w:id="23"/>
    <w:bookmarkStart w:id="24" w:name="X356b26048751563678793b5cff4186ad4719b76"/>
    <w:p>
      <w:pPr>
        <w:pStyle w:val="Heading2"/>
      </w:pPr>
      <w:r>
        <w:t xml:space="preserve">Conclusion: A Commitment Anchored in Birmingham</w:t>
      </w:r>
    </w:p>
    <w:p>
      <w:pPr>
        <w:pStyle w:val="FirstParagraph"/>
      </w:pPr>
      <w:r>
        <w:t xml:space="preserve">I do not seek a generic research role in the United Kingdom. I seek to anchor my career within Birmingham’s dynamic medical landscape—a city that embodies the perfect confluence of academic rigor, community need, and transformative potential. My background equips me to immediately contribute to projects like the Birmingham Health Innovation Campus’ £50M Accelerator Fund, while my vision aligns with UKRI’s strategic goals for "Healthier Lives" through place-based research. I am prepared to immerse myself in Birmingham’s scientific community from day one, collaborating with colleagues across the University of Birmingham, NHS trusts, and industry partners to turn data into diagnostics and therapies that save lives locally while setting global standards.</w:t>
      </w:r>
    </w:p>
    <w:p>
      <w:pPr>
        <w:pStyle w:val="BodyText"/>
      </w:pPr>
      <w:r>
        <w:t xml:space="preserve">As a Medical Researcher committed to evidence-based humanitarianism, I know that true scientific excellence is measured not just in publications but in improved health outcomes for real people. Birmingham offers the unparalleled opportunity to make this impact at scale—where every research finding has the potential to transform a neighbor’s life on New Street or in Sparkbrook. I am ready to contribute my skills, passion, and unwavering dedication to this vital mission. The United Kingdom Birmingham is not just my next professional chapter; it is where I will build a legacy of health equity through medical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Birmingham</dc:title>
  <dc:creator/>
  <dc:language>en</dc:language>
  <cp:keywords/>
  <dcterms:created xsi:type="dcterms:W3CDTF">2025-12-10T00:08:38Z</dcterms:created>
  <dcterms:modified xsi:type="dcterms:W3CDTF">2025-12-10T00:08:38Z</dcterms:modified>
</cp:coreProperties>
</file>

<file path=docProps/custom.xml><?xml version="1.0" encoding="utf-8"?>
<Properties xmlns="http://schemas.openxmlformats.org/officeDocument/2006/custom-properties" xmlns:vt="http://schemas.openxmlformats.org/officeDocument/2006/docPropsVTypes"/>
</file>