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School</w:t>
      </w:r>
      <w:r>
        <w:t xml:space="preserve"> </w:t>
      </w:r>
      <w:r>
        <w:t xml:space="preserve">Counselor</w:t>
      </w:r>
      <w:r>
        <w:t xml:space="preserve"> </w:t>
      </w:r>
      <w:r>
        <w:t xml:space="preserve">Position</w:t>
      </w:r>
      <w:r>
        <w:t xml:space="preserve"> </w:t>
      </w:r>
      <w:r>
        <w:t xml:space="preserve">in</w:t>
      </w:r>
      <w:r>
        <w:t xml:space="preserve"> </w:t>
      </w:r>
      <w:r>
        <w:t xml:space="preserve">Indonesia</w:t>
      </w:r>
      <w:r>
        <w:t xml:space="preserve"> </w:t>
      </w:r>
      <w:r>
        <w:t xml:space="preserve">Jakarta</w:t>
      </w:r>
    </w:p>
    <w:bookmarkStart w:id="26" w:name="Xa5ba93951307356debed1fd4d043f73a9bcb1a7"/>
    <w:p>
      <w:pPr>
        <w:pStyle w:val="Heading1"/>
      </w:pPr>
      <w:r>
        <w:t xml:space="preserve">Statement of Purpose: Pursuing a Career as a School Counselor in Indonesia Jakarta</w:t>
      </w:r>
    </w:p>
    <w:p>
      <w:pPr>
        <w:pStyle w:val="FirstParagraph"/>
      </w:pPr>
      <w:r>
        <w:t xml:space="preserve">In the vibrant, dynamic landscape of Indonesia's capital, Jakarta, where cultural diversity converges with rapid urbanization and evolving educational needs, I submit this Statement of Purpose to express my profound commitment to becoming an effective School Counselor within the Indonesian education system. My aspiration is not merely to fill a professional role but to actively contribute to nurturing resilient, empathetic, and academically thriving students in Jakarta's unique sociocultural environment. This document articulates my academic foundation, practical experiences, cultural understanding, and unwavering dedication to advancing the critical work of school counseling in Indonesia Jakarta—a context where the demand for compassionate mental health support is both urgent and deeply meaningful.</w:t>
      </w:r>
    </w:p>
    <w:bookmarkStart w:id="20" w:name="X55bb91781f33c113c84eb980386b4f7fa579e39"/>
    <w:p>
      <w:pPr>
        <w:pStyle w:val="Heading2"/>
      </w:pPr>
      <w:r>
        <w:t xml:space="preserve">Foundations of Passion: Why School Counseling in Jakarta?</w:t>
      </w:r>
    </w:p>
    <w:p>
      <w:pPr>
        <w:pStyle w:val="FirstParagraph"/>
      </w:pPr>
      <w:r>
        <w:t xml:space="preserve">My journey toward becoming a School Counselor was ignited during my undergraduate studies in Psychology at Universitas Indonesia, where I volunteered with youth outreach programs across Jakarta’s diverse neighborhoods. Witnessing firsthand the academic pressures faced by students from low-income communities near Cipinang or the intense expectations placed on adolescents in elite international schools of South Jakarta profoundly shaped my perspective. In a city where over 10 million people navigate daily challenges—from traffic congestion impacting study routines to socioeconomic disparities affecting educational access—I recognized that traditional academic support is insufficient without holistic mental health guidance. The Indonesian Ministry of Education’s recent reports highlighting a 35% increase in student anxiety and stress-related absences (2023) underscored the critical need for culturally attuned counseling services. As a School Counselor in Jakarta, I am driven to bridge this gap, ensuring students are not just academically equipped but emotionally empowered to thrive.</w:t>
      </w:r>
    </w:p>
    <w:bookmarkEnd w:id="20"/>
    <w:bookmarkStart w:id="21" w:name="X5eaf8775ef6c05e3e64da65f89f7386eab29c0a"/>
    <w:p>
      <w:pPr>
        <w:pStyle w:val="Heading2"/>
      </w:pPr>
      <w:r>
        <w:t xml:space="preserve">Academic and Professional Preparation: Tailored for Indonesia</w:t>
      </w:r>
    </w:p>
    <w:p>
      <w:pPr>
        <w:pStyle w:val="FirstParagraph"/>
      </w:pPr>
      <w:r>
        <w:t xml:space="preserve">I hold a Master of Science in Counseling Psychology from the University of Melbourne, with a thesis focused on "Culturally Responsive Counseling Interventions in Urban Indonesian Schools." This research involved collaborative fieldwork at Sekolah Menengah Pertama Negeri 9 Jakarta, where I analyzed how collectivist cultural values and Islamic religious norms influence student help-seeking behaviors. My studies immersed me in foundational Indonesian counseling frameworks such as Bimbingan Konseling (Guidance and Counseling), emphasizing harmony ("rukun") and respect for elders ("sapa")—principles that directly inform my approach. I also completed a 6-month internship at YAYASAN PUSPA MANDIRI, an NGO supporting marginalized students in East Jakarta, where I facilitated group sessions on academic stress management using local idioms like "sabar" (patience) and "jangan terburu-buru" (don’t rush), resonating deeply with students. This experience taught me that effective counseling in Indonesia Jakarta must honor cultural identity while providing practical tools for modern challenges.</w:t>
      </w:r>
    </w:p>
    <w:bookmarkEnd w:id="21"/>
    <w:bookmarkStart w:id="22" w:name="X723fba409facd59fe92dede041cf2ff84982c05"/>
    <w:p>
      <w:pPr>
        <w:pStyle w:val="Heading2"/>
      </w:pPr>
      <w:r>
        <w:t xml:space="preserve">Cultural Competence: Navigating Jakarta's Unique Context</w:t>
      </w:r>
    </w:p>
    <w:p>
      <w:pPr>
        <w:pStyle w:val="FirstParagraph"/>
      </w:pPr>
      <w:r>
        <w:t xml:space="preserve">Understanding that Jakarta’s student population encompasses Javanese, Sundanese, Betawi, and migrant communities from across Indonesia—each with distinct communication styles and family dynamics—is non-negotiable for a School Counselor here. I have actively developed cultural competence through immersive practices: learning basic Bahasa Indonesia phrases beyond daily conversation (e.g., "Apa yang bisa saya bantu?" – How can I assist?), collaborating with local religious leaders to address stigma around mental health, and attending workshops on Indonesian family counseling models at the Pusat Pengembangan Profesi Konselor. For instance, when working with a student from a conservative Betawi household experiencing anxiety about university choices, I incorporated family-centered discussions—aligning with Indonesian familial values—to ensure parental support rather than creating conflict. This approach, grounded in respect for Indonesia’s communal ethos, ensures interventions are accepted and sustainable.</w:t>
      </w:r>
    </w:p>
    <w:bookmarkEnd w:id="22"/>
    <w:bookmarkStart w:id="23" w:name="Xddfb22d396de0200b32e65e7018a7279f0ac86a"/>
    <w:p>
      <w:pPr>
        <w:pStyle w:val="Heading2"/>
      </w:pPr>
      <w:r>
        <w:t xml:space="preserve">Commitment to Impact: A Vision for Jakarta Schools</w:t>
      </w:r>
    </w:p>
    <w:p>
      <w:pPr>
        <w:pStyle w:val="FirstParagraph"/>
      </w:pPr>
      <w:r>
        <w:t xml:space="preserve">My professional vision extends beyond individual counseling sessions. I aim to design school-wide initiatives addressing Jakarta-specific issues like cyberbullying in a digital-native generation (a concern cited by 67% of teachers in a 2024 Jakarta Education Survey) and stress related to high-stakes national exams. As part of my Statement of Purpose, I propose implementing "Counseling Circles" for students—small, culturally familiar group discussions where peers share experiences using local storytelling traditions—to foster peer support networks. Additionally, I will partner with schools to integrate mental health literacy into the existing curriculum, drawing from Indonesia’s Ministry of Education guidelines on holistic development. In Jakarta's context, this means adapting Western models (like cognitive-behavioral techniques) to emphasize community healing and spiritual resilience rather than individualism—a distinction vital for cultural relevance.</w:t>
      </w:r>
    </w:p>
    <w:bookmarkEnd w:id="23"/>
    <w:bookmarkStart w:id="24" w:name="why-jakarta-why-now"/>
    <w:p>
      <w:pPr>
        <w:pStyle w:val="Heading2"/>
      </w:pPr>
      <w:r>
        <w:t xml:space="preserve">Why Jakarta? Why Now?</w:t>
      </w:r>
    </w:p>
    <w:p>
      <w:pPr>
        <w:pStyle w:val="FirstParagraph"/>
      </w:pPr>
      <w:r>
        <w:t xml:space="preserve">Indonesia Jakarta represents the perfect convergence of challenge and opportunity. As one of Southeast Asia’s most populous cities, it exemplifies the educational transformations happening nationwide: a push toward student-centered learning, increased international school presence, and growing recognition of mental health as integral to academic success. Yet, gaps persist in accessible counseling services—particularly in public schools where student-to-counselor ratios often exceed 1:500 (World Bank, 2023). My training equips me to address this imbalance with practical solutions. Moreover, the Indonesian government’s recent "Program Bimbingan Konseling Sekolah" initiative signals a national priority I am eager to support at the grassroots level. Jakarta is not just a location for my career; it is the frontline of Indonesia’s educational evolution, and I am committed to contributing where impact matters most.</w:t>
      </w:r>
    </w:p>
    <w:bookmarkEnd w:id="24"/>
    <w:bookmarkStart w:id="25" w:name="conclusion-a-lifelong-commitment"/>
    <w:p>
      <w:pPr>
        <w:pStyle w:val="Heading2"/>
      </w:pPr>
      <w:r>
        <w:t xml:space="preserve">Conclusion: A Lifelong Commitment</w:t>
      </w:r>
    </w:p>
    <w:p>
      <w:pPr>
        <w:pStyle w:val="FirstParagraph"/>
      </w:pPr>
      <w:r>
        <w:t xml:space="preserve">In concluding this Statement of Purpose, I reiterate that becoming a School Counselor in Indonesia Jakarta is not a career choice but a calling. My academic rigor, culturally rooted practice, and deep empathy for Jakarta’s students have prepared me to honor the trust placed in school counselors. I am ready to collaborate with educators, parents, and communities to create safe spaces where every student—whether navigating financial hardship in Cikini or balancing elite academic expectations in Menteng—feels seen, supported, and capable of reaching their full potential. Indonesia Jakarta needs dedicated professionals who understand its heart; I am honored to offer my skills toward building a generation of confident, compassionate Indonesians. Thank you for considering my application to serve as a School Counselor within this extraordinary city.</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School Counselor Position in Indonesia Jakarta</dc:title>
  <dc:creator/>
  <cp:keywords/>
  <dcterms:created xsi:type="dcterms:W3CDTF">2026-07-23T18:20:52Z</dcterms:created>
  <dcterms:modified xsi:type="dcterms:W3CDTF">2026-07-23T18:20:52Z</dcterms:modified>
</cp:coreProperties>
</file>

<file path=docProps/custom.xml><?xml version="1.0" encoding="utf-8"?>
<Properties xmlns="http://schemas.openxmlformats.org/officeDocument/2006/custom-properties" xmlns:vt="http://schemas.openxmlformats.org/officeDocument/2006/docPropsVTypes"/>
</file>