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Brussels,</w:t>
      </w:r>
      <w:r>
        <w:t xml:space="preserve"> </w:t>
      </w:r>
      <w:r>
        <w:t xml:space="preserve">Belgium</w:t>
      </w:r>
    </w:p>
    <w:bookmarkStart w:id="20" w:name="term-paper"/>
    <w:p>
      <w:pPr>
        <w:pStyle w:val="Heading1"/>
      </w:pPr>
      <w:r>
        <w:t xml:space="preserve">Term Paper</w:t>
      </w:r>
    </w:p>
    <w:p>
      <w:pPr>
        <w:pStyle w:val="FirstParagraph"/>
      </w:pPr>
      <w:r>
        <w:rPr>
          <w:bCs/>
          <w:b/>
        </w:rPr>
        <w:t xml:space="preserve">Title:</w:t>
      </w:r>
    </w:p>
    <w:bookmarkEnd w:id="20"/>
    <w:bookmarkStart w:id="22" w:name="X1fbd0718c3c819c840b4f8513865023bb51f8dd"/>
    <w:p>
      <w:pPr>
        <w:pStyle w:val="Heading1"/>
      </w:pPr>
      <w:r>
        <w:t xml:space="preserve">The Strategic Ecosystem of Academic Research</w:t>
      </w:r>
    </w:p>
    <w:bookmarkStart w:id="21" w:name="Xb0a3093637b3b342e861fa277d34768655ecb62"/>
    <w:p>
      <w:pPr>
        <w:pStyle w:val="Heading2"/>
      </w:pPr>
      <w:r>
        <w:t xml:space="preserve">Analyzing the Role, Challenges, and Impact of the Academic Researcher within the Unique Context of Belgium Brussels</w:t>
      </w:r>
    </w:p>
    <w:bookmarkEnd w:id="21"/>
    <w:bookmarkEnd w:id="22"/>
    <w:p>
      <w:r>
        <w:pict>
          <v:rect style="width:0;height:1.5pt" o:hralign="center" o:hrstd="t" o:hr="t"/>
        </w:pic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Type of Document:</w:t>
            </w:r>
            <w:r>
              <w:br/>
            </w:r>
            <w:r>
              <w:t xml:space="preserve">Term Paper</w:t>
            </w:r>
          </w:p>
        </w:tc>
        <w:tc>
          <w:tcPr/>
          <w:p>
            <w:pPr>
              <w:pStyle w:val="Compact"/>
              <w:jc w:val="left"/>
            </w:pPr>
            <w:r>
              <w:rPr>
                <w:bCs/>
                <w:b/>
              </w:rPr>
              <w:t xml:space="preserve">Date:</w:t>
            </w:r>
            <w:r>
              <w:br/>
            </w:r>
            <w:r>
              <w:t xml:space="preserve">[Insert Current Date]</w:t>
            </w:r>
          </w:p>
        </w:tc>
      </w:tr>
      <w:tr>
        <w:tc>
          <w:tcPr/>
          <w:p>
            <w:pPr>
              <w:pStyle w:val="Compact"/>
            </w:pPr>
          </w:p>
        </w:tc>
        <w:tc>
          <w:tcPr/>
          <w:p>
            <w:pPr>
              <w:pStyle w:val="Compact"/>
            </w:pPr>
          </w:p>
        </w:tc>
      </w:tr>
      <w:tr>
        <w:tc>
          <w:tcPr>
            <w:gridSpan w:val="2"/>
          </w:tcPr>
          <w:p>
            <w:pPr>
              <w:pStyle w:val="Compact"/>
              <w:jc w:val="left"/>
            </w:pPr>
            <w:r>
              <w:rPr>
                <w:bCs/>
                <w:b/>
              </w:rPr>
              <w:t xml:space="preserve">Prepared by:</w:t>
            </w:r>
            <w:r>
              <w:t xml:space="preserve"> </w:t>
            </w:r>
            <w:r>
              <w:t xml:space="preserve">[Author Name]</w:t>
            </w:r>
          </w:p>
        </w:tc>
      </w:tr>
    </w:tbl>
    <w:bookmarkStart w:id="23" w:name="i.-introduction"/>
    <w:p>
      <w:pPr>
        <w:pStyle w:val="Heading3"/>
      </w:pPr>
      <w:r>
        <w:t xml:space="preserve">I. Introduction</w:t>
      </w:r>
    </w:p>
    <w:p>
      <w:pPr>
        <w:pStyle w:val="FirstParagraph"/>
      </w:pPr>
      <w:r>
        <w:t xml:space="preserve">The landscape of higher education and scientific inquiry has undergone profound transformation in the 21st century. At the heart of this evolution lies the figure of the Academic Researcher, a professional whose mandate extends beyond traditional teaching into complex realms of innovation, policy advising, and societal engagement. Nowhere is this dynamic more palpable than in Belgium Brussels, a city that serves not merely as a regional capital but as the de facto administrative capital of the European Union. This</w:t>
      </w:r>
      <w:r>
        <w:t xml:space="preserve"> </w:t>
      </w:r>
      <w:r>
        <w:rPr>
          <w:bCs/>
          <w:b/>
        </w:rPr>
        <w:t xml:space="preserve">Term Paper</w:t>
      </w:r>
      <w:r>
        <w:t xml:space="preserve"> </w:t>
      </w:r>
      <w:r>
        <w:t xml:space="preserve">aims to dissect the multifaceted role of the Academic Researcher operating within this specific geopolitical and institutional hub. By examining</w:t>
      </w:r>
      <w:r>
        <w:t xml:space="preserve"> </w:t>
      </w:r>
      <w:r>
        <w:rPr>
          <w:bCs/>
          <w:b/>
        </w:rPr>
        <w:t xml:space="preserve">Belgium Brussels</w:t>
      </w:r>
      <w:r>
        <w:t xml:space="preserve">, we uncover a unique ecosystem where local academic rigor intersects with supranational governance, creating a distinctive pressure cooker for knowledge production. The objective is to elucidate how the identity and function of the</w:t>
      </w:r>
      <w:r>
        <w:t xml:space="preserve"> </w:t>
      </w:r>
      <w:r>
        <w:rPr>
          <w:bCs/>
          <w:b/>
        </w:rPr>
        <w:t xml:space="preserve">Academic Researcher</w:t>
      </w:r>
      <w:r>
        <w:t xml:space="preserve"> </w:t>
      </w:r>
      <w:r>
        <w:t xml:space="preserve">are reshaped by the demands of international politics, multilingual diversity, and EU-funded initiatives.</w:t>
      </w:r>
    </w:p>
    <w:bookmarkEnd w:id="23"/>
    <w:bookmarkStart w:id="24" w:name="Xaa87fbd9847d5479af13e3c68647ab1ee45a414"/>
    <w:p>
      <w:pPr>
        <w:pStyle w:val="Heading3"/>
      </w:pPr>
      <w:r>
        <w:t xml:space="preserve">II. The Unique Geopolitical Context of Belgium Brussels</w:t>
      </w:r>
    </w:p>
    <w:p>
      <w:pPr>
        <w:pStyle w:val="FirstParagraph"/>
      </w:pPr>
      <w:r>
        <w:t xml:space="preserve">To understand the specific trajectory of research in this region, one must first appreciate the singular nature of</w:t>
      </w:r>
      <w:r>
        <w:t xml:space="preserve"> </w:t>
      </w:r>
      <w:r>
        <w:rPr>
          <w:bCs/>
          <w:b/>
        </w:rPr>
        <w:t xml:space="preserve">Belgium Brussels</w:t>
      </w:r>
      <w:r>
        <w:t xml:space="preserve">. Unlike London or Paris, which serve as national anchors for their respective academic systems, Brussels operates as a nexus where national Belgian academia meets supranational European structures. The city hosts the institutions of power that drive European integration: the European Commission, the Council of the EU, and parts of the European Parliament. Consequently,</w:t>
      </w:r>
      <w:r>
        <w:t xml:space="preserve"> </w:t>
      </w:r>
      <w:r>
        <w:rPr>
          <w:bCs/>
          <w:b/>
        </w:rPr>
        <w:t xml:space="preserve">Belgium Brussels</w:t>
      </w:r>
      <w:r>
        <w:t xml:space="preserve"> </w:t>
      </w:r>
      <w:r>
        <w:t xml:space="preserve">is not just a location; it is an institution itself—a "Brussels Bubble" where policy and practice are inextricably linked.</w:t>
      </w:r>
    </w:p>
    <w:p>
      <w:pPr>
        <w:pStyle w:val="BodyText"/>
      </w:pPr>
      <w:r>
        <w:t xml:space="preserve">This environment creates a dual pressure on local universities. On one hand, institutions such as the Université libre de Bruxelles (ULB) and Vrije Universiteit Brussel (VUB) maintain their traditional status as pillars of Belgian higher education. On the other hand, they are compelled to adapt to the rhythms and requirements of EU policy-making. This duality defines the contemporary</w:t>
      </w:r>
      <w:r>
        <w:t xml:space="preserve"> </w:t>
      </w:r>
      <w:r>
        <w:rPr>
          <w:bCs/>
          <w:b/>
        </w:rPr>
        <w:t xml:space="preserve">Academic Researcher</w:t>
      </w:r>
      <w:r>
        <w:t xml:space="preserve">, who must navigate between internal academic metrics (publications, citations) and external societal impact (policy influence, stakeholder engagement). The proximity to decision-makers in</w:t>
      </w:r>
      <w:r>
        <w:t xml:space="preserve"> </w:t>
      </w:r>
      <w:r>
        <w:rPr>
          <w:bCs/>
          <w:b/>
        </w:rPr>
        <w:t xml:space="preserve">Belgium Brussels</w:t>
      </w:r>
      <w:r>
        <w:t xml:space="preserve"> </w:t>
      </w:r>
      <w:r>
        <w:t xml:space="preserve">offers unparalleled access for data collection and policy testing but also imposes a high expectation for immediate relevance.</w:t>
      </w:r>
    </w:p>
    <w:bookmarkEnd w:id="24"/>
    <w:bookmarkStart w:id="25" w:name="X7c54fde170b04e25af13db812b6999b5ced91ca"/>
    <w:p>
      <w:pPr>
        <w:pStyle w:val="Heading3"/>
      </w:pPr>
      <w:r>
        <w:t xml:space="preserve">III. Redefining the Academic Researcher: From Ivory Tower to Knowledge Broker</w:t>
      </w:r>
    </w:p>
    <w:p>
      <w:pPr>
        <w:pStyle w:val="FirstParagraph"/>
      </w:pPr>
      <w:r>
        <w:t xml:space="preserve">In traditional models, the</w:t>
      </w:r>
      <w:r>
        <w:t xml:space="preserve"> </w:t>
      </w:r>
      <w:r>
        <w:rPr>
          <w:bCs/>
          <w:b/>
        </w:rPr>
        <w:t xml:space="preserve">Academic Researcher</w:t>
      </w:r>
      <w:r>
        <w:t xml:space="preserve"> </w:t>
      </w:r>
      <w:r>
        <w:t xml:space="preserve">was often viewed through the lens of the "Ivory Tower," isolated from immediate practical applications. However, in the context of modern European research frameworks, this paradigm has shifted irrevocably. The current expectation for an</w:t>
      </w:r>
      <w:r>
        <w:t xml:space="preserve"> </w:t>
      </w:r>
      <w:r>
        <w:rPr>
          <w:bCs/>
          <w:b/>
        </w:rPr>
        <w:t xml:space="preserve">Academic Researcher</w:t>
      </w:r>
      <w:r>
        <w:t xml:space="preserve">, particularly those operating in a hub like</w:t>
      </w:r>
      <w:r>
        <w:t xml:space="preserve"> </w:t>
      </w:r>
      <w:r>
        <w:rPr>
          <w:bCs/>
          <w:b/>
        </w:rPr>
        <w:t xml:space="preserve">Belgium Brussels</w:t>
      </w:r>
      <w:r>
        <w:t xml:space="preserve">, is that of a "knowledge broker." These professionals are expected to translate complex scientific data into actionable policy briefs for legislators and, conversely, to interpret legislative constraints for the scientific community.</w:t>
      </w:r>
    </w:p>
    <w:p>
      <w:pPr>
        <w:pStyle w:val="BodyText"/>
      </w:pPr>
      <w:r>
        <w:t xml:space="preserve">This role requires a diverse skill set that goes beyond methodological expertise. An</w:t>
      </w:r>
      <w:r>
        <w:t xml:space="preserve"> </w:t>
      </w:r>
      <w:r>
        <w:rPr>
          <w:bCs/>
          <w:b/>
        </w:rPr>
        <w:t xml:space="preserve">Academic Researcher</w:t>
      </w:r>
      <w:r>
        <w:t xml:space="preserve"> </w:t>
      </w:r>
      <w:r>
        <w:t xml:space="preserve">in this region must possess strong diplomatic skills, multilingual capabilities (often requiring fluency in English, French, and/or Dutch), and an acute understanding of bureaucratic processes. For instance, research conducted on migration patterns or climate change regulations gains immediate utility when performed by an</w:t>
      </w:r>
      <w:r>
        <w:t xml:space="preserve"> </w:t>
      </w:r>
      <w:r>
        <w:rPr>
          <w:bCs/>
          <w:b/>
        </w:rPr>
        <w:t xml:space="preserve">Academic Researcher</w:t>
      </w:r>
      <w:r>
        <w:t xml:space="preserve"> </w:t>
      </w:r>
      <w:r>
        <w:t xml:space="preserve">situated near the DG HOME or DG CLIMA directorates within the European Commission buildings located in</w:t>
      </w:r>
      <w:r>
        <w:t xml:space="preserve"> </w:t>
      </w:r>
      <w:r>
        <w:rPr>
          <w:bCs/>
          <w:b/>
        </w:rPr>
        <w:t xml:space="preserve">Belgium Brussels</w:t>
      </w:r>
      <w:r>
        <w:t xml:space="preserve">. The researcher is no longer just an observer but a participant in the democratic and regulatory processes that shape European life.</w:t>
      </w:r>
    </w:p>
    <w:bookmarkEnd w:id="25"/>
    <w:bookmarkStart w:id="26" w:name="X44fb084b94e01836988fd72daee97b209eedd5a"/>
    <w:p>
      <w:pPr>
        <w:pStyle w:val="Heading3"/>
      </w:pPr>
      <w:r>
        <w:t xml:space="preserve">IV. Funding Structures and Collaborative Networks</w:t>
      </w:r>
    </w:p>
    <w:p>
      <w:pPr>
        <w:pStyle w:val="FirstParagraph"/>
      </w:pPr>
      <w:r>
        <w:t xml:space="preserve">A significant determinant of the modern academic career is funding, and for researchers in</w:t>
      </w:r>
      <w:r>
        <w:t xml:space="preserve"> </w:t>
      </w:r>
      <w:r>
        <w:rPr>
          <w:bCs/>
          <w:b/>
        </w:rPr>
        <w:t xml:space="preserve">Belgium Brussels</w:t>
      </w:r>
      <w:r>
        <w:t xml:space="preserve">, the Horizon Europe framework dominates the landscape. The availability of EU grants necessitates that an</w:t>
      </w:r>
      <w:r>
        <w:t xml:space="preserve"> </w:t>
      </w:r>
      <w:r>
        <w:rPr>
          <w:bCs/>
          <w:b/>
        </w:rPr>
        <w:t xml:space="preserve">Academic Researcher</w:t>
      </w:r>
      <w:r>
        <w:t xml:space="preserve"> </w:t>
      </w:r>
      <w:r>
        <w:t xml:space="preserve">becomes proficient in grant writing and consortium management. This has led to a proliferation of transnational collaborations, breaking down silos between different national academic systems.</w:t>
      </w:r>
    </w:p>
    <w:p>
      <w:pPr>
        <w:pStyle w:val="BodyText"/>
      </w:pPr>
      <w:r>
        <w:t xml:space="preserve">In</w:t>
      </w:r>
      <w:r>
        <w:t xml:space="preserve"> </w:t>
      </w:r>
      <w:r>
        <w:rPr>
          <w:bCs/>
          <w:b/>
        </w:rPr>
        <w:t xml:space="preserve">Belgium Brussels</w:t>
      </w:r>
      <w:r>
        <w:t xml:space="preserve">, these collaborations are often facilitated by the dense network of think tanks, NGOs, and international organizations based in the city. An</w:t>
      </w:r>
      <w:r>
        <w:t xml:space="preserve"> </w:t>
      </w:r>
      <w:r>
        <w:rPr>
          <w:bCs/>
          <w:b/>
        </w:rPr>
        <w:t xml:space="preserve">Academic Researcher</w:t>
      </w:r>
      <w:r>
        <w:t xml:space="preserve"> </w:t>
      </w:r>
      <w:r>
        <w:t xml:space="preserve">frequently finds themselves co-authoring papers with policy advisors, civil servants, and industry leaders. This hybrid nature of research output challenges traditional academic metrics which prioritize peer-reviewed journal articles above all else. The success of an</w:t>
      </w:r>
      <w:r>
        <w:t xml:space="preserve"> </w:t>
      </w:r>
      <w:r>
        <w:rPr>
          <w:bCs/>
          <w:b/>
        </w:rPr>
        <w:t xml:space="preserve">Academic Researcher</w:t>
      </w:r>
      <w:r>
        <w:t xml:space="preserve"> </w:t>
      </w:r>
      <w:r>
        <w:t xml:space="preserve">in this context is increasingly measured by the uptake of their findings in EU directives or national Belgian laws, highlighting a shift towards "Impact Assessment" as a core competency.</w:t>
      </w:r>
    </w:p>
    <w:bookmarkEnd w:id="26"/>
    <w:bookmarkStart w:id="27" w:name="X88f9db2ca01b0b72374bd69260d05f5fd069044"/>
    <w:p>
      <w:pPr>
        <w:pStyle w:val="Heading3"/>
      </w:pPr>
      <w:r>
        <w:t xml:space="preserve">V. Linguistic and Cultural Diversity: A Double-Edged Sword</w:t>
      </w:r>
    </w:p>
    <w:p>
      <w:pPr>
        <w:pStyle w:val="FirstParagraph"/>
      </w:pPr>
      <w:r>
        <w:t xml:space="preserve">The linguistic landscape of</w:t>
      </w:r>
      <w:r>
        <w:t xml:space="preserve"> </w:t>
      </w:r>
      <w:r>
        <w:rPr>
          <w:bCs/>
          <w:b/>
        </w:rPr>
        <w:t xml:space="preserve">Belgium Brussels</w:t>
      </w:r>
      <w:r>
        <w:t xml:space="preserve">, characterized by its official bilingualism (French and Dutch) alongside the pervasive use of English as the lingua franca of science, presents both opportunities and challenges. For an international or mobile</w:t>
      </w:r>
      <w:r>
        <w:t xml:space="preserve"> </w:t>
      </w:r>
      <w:r>
        <w:rPr>
          <w:bCs/>
          <w:b/>
        </w:rPr>
        <w:t xml:space="preserve">Academic Researcher</w:t>
      </w:r>
      <w:r>
        <w:t xml:space="preserve">, this environment offers a cosmopolitan workspace that mirrors the diversity of Europe itself. It fosters cross-cultural dialogue and innovative thinking.</w:t>
      </w:r>
    </w:p>
    <w:p>
      <w:pPr>
        <w:pStyle w:val="BodyText"/>
      </w:pPr>
      <w:r>
        <w:t xml:space="preserve">However, it also creates barriers to entry for local populations who may not be fluent in English, potentially widening the gap between elite research institutions and broader societal engagement. The</w:t>
      </w:r>
      <w:r>
        <w:t xml:space="preserve"> </w:t>
      </w:r>
      <w:r>
        <w:rPr>
          <w:bCs/>
          <w:b/>
        </w:rPr>
        <w:t xml:space="preserve">Academic Researcher</w:t>
      </w:r>
      <w:r>
        <w:t xml:space="preserve"> </w:t>
      </w:r>
      <w:r>
        <w:t xml:space="preserve">must therefore exercise ethical vigilance to ensure that their research benefits are accessible beyond the academic elite. Effective communication strategies tailored to different linguistic communities within</w:t>
      </w:r>
      <w:r>
        <w:t xml:space="preserve"> </w:t>
      </w:r>
      <w:r>
        <w:rPr>
          <w:bCs/>
          <w:b/>
        </w:rPr>
        <w:t xml:space="preserve">Belgium Brussels</w:t>
      </w:r>
      <w:r>
        <w:t xml:space="preserve"> </w:t>
      </w:r>
      <w:r>
        <w:t xml:space="preserve">are essential for maintaining public trust and ensuring that policy recommendations derived from academic work are understood and implemented by all stakeholders.</w:t>
      </w:r>
    </w:p>
    <w:bookmarkEnd w:id="27"/>
    <w:bookmarkStart w:id="28" w:name="vi.-conclusion"/>
    <w:p>
      <w:pPr>
        <w:pStyle w:val="Heading3"/>
      </w:pPr>
      <w:r>
        <w:t xml:space="preserve">VI. Conclusion</w:t>
      </w:r>
    </w:p>
    <w:p>
      <w:pPr>
        <w:pStyle w:val="FirstParagraph"/>
      </w:pPr>
      <w:r>
        <w:t xml:space="preserve">In conclusion, the profile of the Academic Researcher has evolved significantly to meet the demands of a globalized, interconnected world. This evolution is particularly pronounced in</w:t>
      </w:r>
      <w:r>
        <w:t xml:space="preserve"> </w:t>
      </w:r>
      <w:r>
        <w:rPr>
          <w:bCs/>
          <w:b/>
        </w:rPr>
        <w:t xml:space="preserve">Belgium Brussels</w:t>
      </w:r>
      <w:r>
        <w:t xml:space="preserve">, where the convergence of national Belgian academia and European Union governance creates a unique laboratory for knowledge production. The modern Academic Researcher in this context cannot remain an isolated scholar; they must be engaged, versatile, and politically aware.</w:t>
      </w:r>
    </w:p>
    <w:p>
      <w:pPr>
        <w:pStyle w:val="BodyText"/>
      </w:pPr>
      <w:r>
        <w:t xml:space="preserve">This</w:t>
      </w:r>
      <w:r>
        <w:t xml:space="preserve"> </w:t>
      </w:r>
      <w:r>
        <w:rPr>
          <w:bCs/>
          <w:b/>
        </w:rPr>
        <w:t xml:space="preserve">Term Paper</w:t>
      </w:r>
      <w:r>
        <w:t xml:space="preserve"> </w:t>
      </w:r>
      <w:r>
        <w:t xml:space="preserve">has argued that the value of an</w:t>
      </w:r>
      <w:r>
        <w:t xml:space="preserve"> </w:t>
      </w:r>
      <w:r>
        <w:rPr>
          <w:bCs/>
          <w:b/>
        </w:rPr>
        <w:t xml:space="preserve">Academic Researcher</w:t>
      </w:r>
      <w:r>
        <w:t xml:space="preserve"> </w:t>
      </w:r>
      <w:r>
        <w:t xml:space="preserve">is now inextricably linked to their ability to bridge the gap between theory and practice within the specific ecosystem of</w:t>
      </w:r>
      <w:r>
        <w:t xml:space="preserve"> </w:t>
      </w:r>
      <w:r>
        <w:rPr>
          <w:bCs/>
          <w:b/>
        </w:rPr>
        <w:t xml:space="preserve">Belgium Brussels</w:t>
      </w:r>
      <w:r>
        <w:t xml:space="preserve">. As Europe faces complex challenges ranging from digital transformation to geopolitical instability, the demand for rigorous, policy-relevant academic inquiry will only grow. Therefore, supporting the development of Academic Researchers who can navigate this complex terrain is not just an investment in higher education but a strategic necessity for effective governance and societal progress.</w:t>
      </w:r>
    </w:p>
    <w:p>
      <w:r>
        <w:pict>
          <v:rect style="width:0;height:1.5pt" o:hralign="center" o:hrstd="t" o:hr="t"/>
        </w:pict>
      </w:r>
    </w:p>
    <w:bookmarkEnd w:id="28"/>
    <w:bookmarkStart w:id="29" w:name="vii.-references-selected-bibliography"/>
    <w:p>
      <w:pPr>
        <w:pStyle w:val="Heading3"/>
      </w:pPr>
      <w:r>
        <w:t xml:space="preserve">VII. References (Selected Bibliography)</w:t>
      </w:r>
    </w:p>
    <w:p>
      <w:pPr>
        <w:pStyle w:val="FirstParagraph"/>
      </w:pPr>
      <w:r>
        <w:rPr>
          <w:iCs/>
          <w:i/>
        </w:rPr>
        <w:t xml:space="preserve">(Note: In a real academic setting, full citations would be provided here according to APA or Chicago style guidelines.)</w:t>
      </w:r>
    </w:p>
    <w:p>
      <w:pPr>
        <w:numPr>
          <w:ilvl w:val="0"/>
          <w:numId w:val="1001"/>
        </w:numPr>
        <w:pStyle w:val="Compact"/>
      </w:pPr>
      <w:r>
        <w:t xml:space="preserve">The European Commission. (2023). *Horizon Europe Work Programme: Cluster 2 – Culture, Creativity and Inclusive Society*. Brussels.</w:t>
      </w:r>
    </w:p>
    <w:p>
      <w:pPr>
        <w:numPr>
          <w:ilvl w:val="0"/>
          <w:numId w:val="1001"/>
        </w:numPr>
        <w:pStyle w:val="Compact"/>
      </w:pPr>
      <w:r>
        <w:t xml:space="preserve">VUB &amp; ULB Strategic Reports on Internationalization in the Brussels Region. (2021-2024).</w:t>
      </w:r>
    </w:p>
    <w:p>
      <w:pPr>
        <w:numPr>
          <w:ilvl w:val="0"/>
          <w:numId w:val="1001"/>
        </w:numPr>
        <w:pStyle w:val="Compact"/>
      </w:pPr>
      <w:r>
        <w:t xml:space="preserve">Timmermans, A., &amp; Geuens, J. (Eds.). *The Politics of European Integration: The Role of Think Tanks and Academics*. Routledge.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Brussels, Belgium</dc:title>
  <dc:creator/>
  <dc:language>en</dc:language>
  <cp:keywords/>
  <dcterms:created xsi:type="dcterms:W3CDTF">2026-07-29T06:17:55Z</dcterms:created>
  <dcterms:modified xsi:type="dcterms:W3CDTF">2026-07-29T06:17:55Z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