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28" w:name="X65182c057d5dafeb142229dd4c5a13dd65b5b8b"/>
    <w:p>
      <w:pPr>
        <w:pStyle w:val="Heading1"/>
      </w:pPr>
      <w:r>
        <w:t xml:space="preserve">The Role and Evolution of the Academic Researcher in Colombia Medellín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Social Sciences and Humanities</w:t>
      </w:r>
      <w:r>
        <w:br/>
      </w:r>
      <w:r>
        <w:rPr>
          <w:bCs/>
          <w:b/>
        </w:rPr>
        <w:t xml:space="preserve">Type:</w:t>
      </w:r>
    </w:p>
    <w:p>
      <w:pPr>
        <w:pStyle w:val="BodyText"/>
      </w:pPr>
      <w:r>
        <w:rPr>
          <w:iCs/>
          <w:i/>
        </w:rPr>
        <w:t xml:space="preserve">This term paper explores the critical function of the Academic Researcher within the specific socio-economic and cultural context of Colombia Medellín. It examines how local researchers contribute to national development, address regional challenges, and navigate the evolving landscape higher education in Latin America.</w:t>
      </w:r>
    </w:p>
    <w:bookmarkStart w:id="20" w:name="i.-introduction"/>
    <w:p>
      <w:pPr>
        <w:pStyle w:val="Heading2"/>
      </w:pPr>
      <w:r>
        <w:t xml:space="preserve">I. Introduction</w:t>
      </w:r>
    </w:p>
    <w:p>
      <w:pPr>
        <w:pStyle w:val="FirstParagraph"/>
      </w:pPr>
      <w:r>
        <w:t xml:space="preserve">In recent decades, Colombia has undergone a significant transformation in its approach to knowledge production and scientific inquiry. At the heart of this transformation lies the figure of the</w:t>
      </w:r>
      <w:r>
        <w:t xml:space="preserve"> </w:t>
      </w:r>
      <w:r>
        <w:rPr>
          <w:bCs/>
          <w:b/>
        </w:rPr>
        <w:t xml:space="preserve">Academic Researcher</w:t>
      </w:r>
      <w:r>
        <w:t xml:space="preserve">. While research is a global endeavor, its impact is deeply localized, shaped by regional priorities, cultural nuances, and institutional frameworks. This paper focuses specifically on</w:t>
      </w:r>
      <w:r>
        <w:t xml:space="preserve"> </w:t>
      </w:r>
      <w:r>
        <w:rPr>
          <w:bCs/>
          <w:b/>
        </w:rPr>
        <w:t xml:space="preserve">Colombia Medellín</w:t>
      </w:r>
      <w:r>
        <w:t xml:space="preserve">, a city often cited as a model for urban transformation and social innovation. The role of the academic researcher in this context is not merely to observe but to actively participate in solving complex societal problems.</w:t>
      </w:r>
    </w:p>
    <w:p>
      <w:pPr>
        <w:pStyle w:val="BodyText"/>
      </w:pPr>
      <w:r>
        <w:t xml:space="preserve">The purpose of this document is to analyze the responsibilities, methodologies, and challenges faced by researchers operating within universities and research centers in Medellín. By understanding the unique position of these scholars, we can better appreciate how local academic efforts contribute to broader national goals. The city’s rapid shift from a reputation marred by conflict to one recognized for innovation provides a fertile ground for examining how an</w:t>
      </w:r>
      <w:r>
        <w:t xml:space="preserve"> </w:t>
      </w:r>
      <w:r>
        <w:rPr>
          <w:bCs/>
          <w:b/>
        </w:rPr>
        <w:t xml:space="preserve">Academic Researcher</w:t>
      </w:r>
      <w:r>
        <w:t xml:space="preserve"> </w:t>
      </w:r>
      <w:r>
        <w:t xml:space="preserve">operates in a dynamic environment.</w:t>
      </w:r>
    </w:p>
    <w:bookmarkEnd w:id="20"/>
    <w:bookmarkStart w:id="22" w:name="section"/>
    <w:p>
      <w:pPr>
        <w:pStyle w:val="Heading2"/>
      </w:pPr>
      <w:bookmarkStart w:id="21" w:name="context"/>
      <w:bookmarkEnd w:id="21"/>
    </w:p>
    <w:p>
      <w:pPr>
        <w:pStyle w:val="FirstParagraph"/>
      </w:pPr>
      <w:r>
        <w:t xml:space="preserve">To understand the current state of research, one must contextualize it within the history and present reality of Medellín. For decades, the city struggled with high levels of violence and inequality. However, since the early 2000s, Medellín has emerged as a hub for urban planning, public policy innovation, and technological development. This shift was not accidental; it was driven by strategic investments in education and science.</w:t>
      </w:r>
    </w:p>
    <w:p>
      <w:pPr>
        <w:pStyle w:val="BodyText"/>
      </w:pPr>
      <w:r>
        <w:t xml:space="preserve">In this landscape, the</w:t>
      </w:r>
      <w:r>
        <w:t xml:space="preserve"> </w:t>
      </w:r>
      <w:r>
        <w:rPr>
          <w:bCs/>
          <w:b/>
        </w:rPr>
        <w:t xml:space="preserve">Academic Researcher</w:t>
      </w:r>
      <w:r>
        <w:t xml:space="preserve"> </w:t>
      </w:r>
      <w:r>
        <w:t xml:space="preserve">serves as a bridge between theoretical knowledge and practical application. Unlike researchers in more stable or purely theoretical environments, those working in Colombia Medellín often deal with interdisciplinary challenges. They must integrate sociology, engineering, economics, and public health to address issues such as urban mobility, waste management in informal settlements (barrios), and social reintegration.</w:t>
      </w:r>
    </w:p>
    <w:bookmarkEnd w:id="22"/>
    <w:bookmarkStart w:id="23" w:name="X36df81a0b84c9a561792ce85a1fe7d18d3df165"/>
    <w:p>
      <w:pPr>
        <w:pStyle w:val="Heading2"/>
      </w:pPr>
      <w:r>
        <w:t xml:space="preserve">III. Methodological Approaches of Local Researchers</w:t>
      </w:r>
    </w:p>
    <w:p>
      <w:pPr>
        <w:pStyle w:val="FirstParagraph"/>
      </w:pPr>
      <w:r>
        <w:t xml:space="preserve">The methodology employed by an</w:t>
      </w:r>
      <w:r>
        <w:t xml:space="preserve"> </w:t>
      </w:r>
      <w:r>
        <w:rPr>
          <w:bCs/>
          <w:b/>
        </w:rPr>
        <w:t xml:space="preserve">Academic Researcher</w:t>
      </w:r>
    </w:p>
    <w:p>
      <w:pPr>
        <w:numPr>
          <w:ilvl w:val="0"/>
          <w:numId w:val="1001"/>
        </w:numPr>
        <w:pStyle w:val="Compact"/>
      </w:pPr>
      <w:r>
        <w:rPr>
          <w:bCs/>
          <w:b/>
        </w:rPr>
        <w:t xml:space="preserve">Mixed-Methods Research:</w:t>
      </w:r>
    </w:p>
    <w:p>
      <w:pPr>
        <w:numPr>
          <w:ilvl w:val="0"/>
          <w:numId w:val="1001"/>
        </w:numPr>
        <w:pStyle w:val="Compact"/>
      </w:pPr>
      <w:r>
        <w:rPr>
          <w:bCs/>
          <w:b/>
        </w:rPr>
        <w:t xml:space="preserve">Action Research:</w:t>
      </w:r>
    </w:p>
    <w:p>
      <w:pPr>
        <w:numPr>
          <w:ilvl w:val="0"/>
          <w:numId w:val="1001"/>
        </w:numPr>
        <w:pStyle w:val="Compact"/>
      </w:pPr>
      <w:r>
        <w:rPr>
          <w:bCs/>
          <w:b/>
        </w:rPr>
        <w:t xml:space="preserve">Interdisciplinary Collaboration:</w:t>
      </w:r>
    </w:p>
    <w:p>
      <w:pPr>
        <w:pStyle w:val="FirstParagraph"/>
      </w:pPr>
      <w:r>
        <w:t xml:space="preserve">The work of an</w:t>
      </w:r>
      <w:r>
        <w:t xml:space="preserve"> </w:t>
      </w:r>
      <w:r>
        <w:rPr>
          <w:bCs/>
          <w:b/>
        </w:rPr>
        <w:t xml:space="preserve">Academic Researcher</w:t>
      </w:r>
    </w:p>
    <w:p>
      <w:pPr>
        <w:pStyle w:val="BodyText"/>
      </w:pPr>
      <w:r>
        <w:rPr>
          <w:bCs/>
          <w:b/>
        </w:rPr>
        <w:t xml:space="preserve">Poverty Reduction:</w:t>
      </w:r>
    </w:p>
    <w:p>
      <w:pPr>
        <w:numPr>
          <w:ilvl w:val="0"/>
          <w:numId w:val="1002"/>
        </w:numPr>
        <w:pStyle w:val="Compact"/>
      </w:pPr>
      <w:r>
        <w:rPr>
          <w:bCs/>
          <w:b/>
        </w:rPr>
        <w:t xml:space="preserve">Educational Quality:</w:t>
      </w:r>
    </w:p>
    <w:p>
      <w:pPr>
        <w:numPr>
          <w:ilvl w:val="0"/>
          <w:numId w:val="1002"/>
        </w:numPr>
        <w:pStyle w:val="Compact"/>
      </w:pPr>
      <w:r>
        <w:rPr>
          <w:bCs/>
          <w:b/>
        </w:rPr>
        <w:t xml:space="preserve">Cultural Preservation:</w:t>
      </w:r>
    </w:p>
    <w:bookmarkEnd w:id="23"/>
    <w:bookmarkStart w:id="24" w:name="X696d1984f61148f29993ceefa5e65075453a376"/>
    <w:p>
      <w:pPr>
        <w:pStyle w:val="Heading2"/>
      </w:pPr>
      <w:r>
        <w:t xml:space="preserve">V. Challenges Facing Academic Researchers</w:t>
      </w:r>
    </w:p>
    <w:p>
      <w:pPr>
        <w:pStyle w:val="FirstParagraph"/>
      </w:pPr>
      <w:r>
        <w:t xml:space="preserve">Despite progress significant challenges remain for the</w:t>
      </w:r>
      <w:r>
        <w:t xml:space="preserve"> </w:t>
      </w:r>
      <w:r>
        <w:rPr>
          <w:bCs/>
          <w:b/>
        </w:rPr>
        <w:t xml:space="preserve">Academic Researcher</w:t>
      </w:r>
      <w:r>
        <w:t xml:space="preserve">. One of the primary issues is funding. While there are government grants through agencies like Colciencias (now Minciencias), competition is fierce, and resources are often limited compared to institutions in developed countries. This scarcity forces researchers to be highly strategic in their grant-writing and often rely on international collaborations.</w:t>
      </w:r>
    </w:p>
    <w:p>
      <w:pPr>
        <w:pStyle w:val="BodyText"/>
      </w:pPr>
      <w:r>
        <w:t xml:space="preserve">Another challenge is the "publish or perish" culture, which sometimes prioritizes quantity of publications over quality or local relevance. Academic Researchers in Colombia Medellín must balance the need for international visibility with the demand for locally impactful work. This tension can lead to a disconnect where research produced does not always address immediate community needs.</w:t>
      </w:r>
    </w:p>
    <w:p>
      <w:pPr>
        <w:pStyle w:val="BodyText"/>
      </w:pPr>
      <w:r>
        <w:t xml:space="preserve">Furthermore, safety and political stability remain concerns, particularly for researchers working on sensitive topics such as human rights, land restitution, or illegal economies. The physical security of an</w:t>
      </w:r>
      <w:r>
        <w:t xml:space="preserve"> </w:t>
      </w:r>
      <w:r>
        <w:rPr>
          <w:bCs/>
          <w:b/>
        </w:rPr>
        <w:t xml:space="preserve">Academic Researcher</w:t>
      </w:r>
    </w:p>
    <w:bookmarkEnd w:id="24"/>
    <w:bookmarkStart w:id="26" w:name="section-1"/>
    <w:p>
      <w:pPr>
        <w:pStyle w:val="Heading2"/>
      </w:pPr>
      <w:bookmarkStart w:id="25" w:name="future"/>
      <w:bookmarkEnd w:id="25"/>
    </w:p>
    <w:p>
      <w:pPr>
        <w:pStyle w:val="FirstParagraph"/>
      </w:pPr>
      <w:r>
        <w:t xml:space="preserve">The future of research in Colombia Medellín looks promising but requires sustained commitment. The city continues to invest in technology parks and innovation hubs, such as Ruta N, which serve as incubators for research-driven startups. For the Academic Researcher</w:t>
      </w:r>
    </w:p>
    <w:p>
      <w:pPr>
        <w:numPr>
          <w:ilvl w:val="0"/>
          <w:numId w:val="1003"/>
        </w:numPr>
        <w:pStyle w:val="Compact"/>
      </w:pPr>
      <w:r>
        <w:rPr>
          <w:bCs/>
          <w:b/>
        </w:rPr>
        <w:t xml:space="preserve">Digital Literacy:</w:t>
      </w:r>
    </w:p>
    <w:p>
      <w:pPr>
        <w:numPr>
          <w:ilvl w:val="0"/>
          <w:numId w:val="1003"/>
        </w:numPr>
        <w:pStyle w:val="Compact"/>
      </w:pPr>
      <w:r>
        <w:rPr>
          <w:bCs/>
          <w:b/>
        </w:rPr>
        <w:t xml:space="preserve">Global Networking:</w:t>
      </w:r>
    </w:p>
    <w:bookmarkEnd w:id="26"/>
    <w:bookmarkStart w:id="27" w:name="vii.-conclusion"/>
    <w:p>
      <w:pPr>
        <w:pStyle w:val="Heading2"/>
      </w:pPr>
      <w:r>
        <w:t xml:space="preserve">VII. Conclusion</w:t>
      </w:r>
    </w:p>
    <w:p>
      <w:pPr>
        <w:pStyle w:val="FirstParagraph"/>
      </w:pPr>
      <w:r>
        <w:t xml:space="preserve">The</w:t>
      </w:r>
      <w:r>
        <w:t xml:space="preserve"> </w:t>
      </w:r>
      <w:r>
        <w:rPr>
          <w:bCs/>
          <w:b/>
        </w:rPr>
        <w:t xml:space="preserve">Academic Researcher</w:t>
      </w:r>
      <w:r>
        <w:t xml:space="preserve"> </w:t>
      </w:r>
      <w:r>
        <w:t xml:space="preserve">in</w:t>
      </w:r>
      <w:r>
        <w:t xml:space="preserve"> </w:t>
      </w:r>
      <w:r>
        <w:rPr>
          <w:bCs/>
          <w:b/>
        </w:rPr>
        <w:t xml:space="preserve">Colombia Medellín</w:t>
      </w:r>
      <w:hyperlink w:anchor="context">
        <w:r>
          <w:rPr>
            <w:rStyle w:val="Hyperlink"/>
            <w:vertAlign w:val="superscript"/>
          </w:rPr>
          <w:t xml:space="preserve">[1]</w:t>
        </w:r>
      </w:hyperlink>
      <w:r>
        <w:t xml:space="preserve">, the methodological adaptability required to address complex social issues</w:t>
      </w:r>
      <w:hyperlink w:anchor="methodology">
        <w:r>
          <w:rPr>
            <w:rStyle w:val="Hyperlink"/>
            <w:vertAlign w:val="superscript"/>
          </w:rPr>
          <w:t xml:space="preserve">[2]</w:t>
        </w:r>
      </w:hyperlink>
      <w:r>
        <w:t xml:space="preserve">, and the tangible benefits provided to society through policy and innovation support.</w:t>
      </w:r>
    </w:p>
    <w:p>
      <w:pPr>
        <w:pStyle w:val="BodyText"/>
      </w:pPr>
      <w:r>
        <w:t xml:space="preserve">This</w:t>
      </w:r>
      <w:r>
        <w:t xml:space="preserve"> </w:t>
      </w:r>
      <w:r>
        <w:rPr>
          <w:bCs/>
          <w:b/>
        </w:rPr>
        <w:t xml:space="preserve">term paperAcademic Researcher</w:t>
      </w:r>
      <w:hyperlink w:anchor="future">
        <w:r>
          <w:rPr>
            <w:rStyle w:val="Hyperlink"/>
            <w:vertAlign w:val="superscript"/>
          </w:rPr>
          <w:t xml:space="preserve">[3]</w:t>
        </w:r>
      </w:hyperlink>
      <w:r>
        <w:t xml:space="preserve">. As Medellín continues its journey towards becoming a global leader in sustainable urban development, the role of these scholars will remain indispensable. They are not just observers of change but active agents in shaping a more equitable and prosperous future for the region.</w:t>
      </w:r>
    </w:p>
    <w:p>
      <w:pPr>
        <w:pStyle w:val="BodyText"/>
      </w:pPr>
      <w:r>
        <w:rPr>
          <w:iCs/>
          <w:i/>
        </w:rPr>
        <w:t xml:space="preserve">References available upon request. This document was prepared for academic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Colombia Medellín</dc:title>
  <dc:creator/>
  <dc:language>en</dc:language>
  <cp:keywords/>
  <dcterms:created xsi:type="dcterms:W3CDTF">2026-07-29T17:03:12Z</dcterms:created>
  <dcterms:modified xsi:type="dcterms:W3CDTF">2026-07-29T17:03:12Z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