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5ba1c3db5f396793f1c79363eff23c1c5dc8713"/>
    <w:p>
      <w:pPr>
        <w:pStyle w:val="Heading1"/>
      </w:pPr>
      <w:r>
        <w:t xml:space="preserve">The Role and Impact of an Academic Researcher in New Zealand Auckland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Arts in Social Sciences</w:t>
      </w:r>
      <w:r>
        <w:br/>
      </w:r>
      <w:r>
        <w:rPr>
          <w:bCs/>
          <w:b/>
        </w:rPr>
        <w:t xml:space="preserve">Institution:</w:t>
      </w:r>
      <w:r>
        <w:t xml:space="preserve"> </w:t>
      </w:r>
      <w:r>
        <w:t xml:space="preserve">University of Waikato / University of Auckland Contextual Framework</w:t>
      </w:r>
    </w:p>
    <w:bookmarkStart w:id="20" w:name="section"/>
    <w:p>
      <w:pPr>
        <w:pStyle w:val="Heading2"/>
      </w:pPr>
    </w:p>
    <w:bookmarkEnd w:id="20"/>
    <w:bookmarkStart w:id="25" w:name="defining-the-role-in-a-specific-context"/>
    <w:p>
      <w:pPr>
        <w:pStyle w:val="Heading2"/>
      </w:pPr>
      <w:r>
        <w:t xml:space="preserve">Defining the Role in a Specific Context</w:t>
      </w:r>
    </w:p>
    <w:p>
      <w:pPr>
        <w:pStyle w:val="FirstParagraph"/>
      </w:pPr>
      <w:r>
        <w:t xml:space="preserve">The definition of an Academic Researcher in this context also encompasses the need to navigate bicultural frameworks. New Zealand is founded on two distinct cultures: Māori and Pākehā (European). Therefore, an Academic Researcher operating in Auckland must be proficient not only in traditional academic methodologies but also capable of engaging with Te Ao Māori (the Māori world) respectfully and effectively. This dual competency distinguishes the local Academic Researcher from their international counterparts.</w:t>
      </w:r>
    </w:p>
    <w:bookmarkStart w:id="21" w:name="Xa37b57f19dbc5d4786337afd848ff52c2ed7b51"/>
    <w:p>
      <w:pPr>
        <w:pStyle w:val="Heading3"/>
      </w:pPr>
      <w:r>
        <w:t xml:space="preserve">Ethical Considerations and Indigenous Partnership</w:t>
      </w:r>
    </w:p>
    <w:p>
      <w:pPr>
        <w:pStyle w:val="FirstParagraph"/>
      </w:pPr>
      <w:r>
        <w:t xml:space="preserve">Kaupapa Māori is a culturally grounded approach that positions the experience and worldview of the Tangata Whenua (people of the land) at its core. An Academic Researcher cannot simply extract data from communities; they must build long-term relationships, ensure community benefit, and respect cultural protocols. This ethical imperative adds depth to the role, transforming it from a purely intellectual pursuit into a socially responsible endeavor.</w:t>
      </w:r>
    </w:p>
    <w:bookmarkEnd w:id="21"/>
    <w:bookmarkStart w:id="22" w:name="X65e074a234f28a5eca11e66cc4bfbfcdf46696b"/>
    <w:p>
      <w:pPr>
        <w:pStyle w:val="Heading3"/>
      </w:pPr>
      <w:r>
        <w:t xml:space="preserve">Collaborative Dynamics and Interdisciplinary Work</w:t>
      </w:r>
    </w:p>
    <w:p>
      <w:pPr>
        <w:pStyle w:val="FirstParagraph"/>
      </w:pPr>
      <w:r>
        <w:t xml:space="preserve">This collaborative nature means that an Academic Researcher must possess strong communication skills to translate complex findings for non-academic stakeholders. They may be called upon to advise Auckland Council policymakers provide expert testimony in legal cases or consult for private sector firms looking to innovate based on local scientific discoveries. The fluid boundary between academia and industry in Auckland further blurs the lines of the traditional researcher role.</w:t>
      </w:r>
    </w:p>
    <w:bookmarkEnd w:id="22"/>
    <w:bookmarkStart w:id="23" w:name="challenges-facing-academic-researchers"/>
    <w:p>
      <w:pPr>
        <w:pStyle w:val="Heading3"/>
      </w:pPr>
      <w:r>
        <w:t xml:space="preserve">Challenges Facing Academic Researchers</w:t>
      </w:r>
    </w:p>
    <w:p>
      <w:pPr>
        <w:pStyle w:val="FirstParagraph"/>
      </w:pPr>
      <w:r>
        <w:t xml:space="preserve">Additionally the cost of living crisis in Auckland poses a practical challenge for early-career Academic Researchers who may struggle with housing affordability while managing heavy teaching and research workloads. These systemic pressures affect not only individual well-being but also the quality and diversity of scholarship produced in the region.</w:t>
      </w:r>
    </w:p>
    <w:bookmarkEnd w:id="23"/>
    <w:bookmarkStart w:id="24" w:name="societal-impact-and-future-directions"/>
    <w:p>
      <w:pPr>
        <w:pStyle w:val="Heading3"/>
      </w:pPr>
      <w:r>
        <w:t xml:space="preserve">Societal Impact and Future Directions</w:t>
      </w:r>
    </w:p>
    <w:p>
      <w:pPr>
        <w:pStyle w:val="FirstParagraph"/>
      </w:pPr>
      <w:r>
        <w:t xml:space="preserve">As we look towards the future the role of an Academic Researcher in New Zealand Auckland will likely expand to include greater emphasis on digital literacy, artificial intelligence ethics, and global climate resilience. The city’s strategic location as a gateway to Asia offers unique opportunities for cross-cultural research collaboration which further enriches the academic environment.</w:t>
      </w:r>
    </w:p>
    <w:p>
      <w:pPr>
        <w:pStyle w:val="BodyText"/>
      </w:pPr>
      <w:r>
        <w:t xml:space="preserve">Conclusion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New Zealand Auckland</dc:title>
  <dc:creator/>
  <dc:language>en</dc:language>
  <cp:keywords/>
  <dcterms:created xsi:type="dcterms:W3CDTF">2026-07-30T02:25:38Z</dcterms:created>
  <dcterms:modified xsi:type="dcterms:W3CDTF">2026-07-30T02:25:38Z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