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Moscow</w:t>
      </w:r>
    </w:p>
    <w:bookmarkStart w:id="21" w:name="Xdc4d4b81d0030f8842dca7ba46c5af3ce83a8db"/>
    <w:p>
      <w:pPr>
        <w:pStyle w:val="Heading1"/>
      </w:pPr>
      <w:r>
        <w:t xml:space="preserve">The Role and Evolution of the</w:t>
      </w:r>
      <w:r>
        <w:br/>
      </w:r>
      <w:r>
        <w:rPr>
          <w:iCs/>
          <w:i/>
        </w:rPr>
        <w:t xml:space="preserve">Academic Researcher</w:t>
      </w:r>
    </w:p>
    <w:bookmarkStart w:id="20" w:name="institutional-contexts-in-russia-moscow"/>
    <w:p>
      <w:pPr>
        <w:pStyle w:val="Heading2"/>
      </w:pPr>
      <w:r>
        <w:t xml:space="preserve">Institutional Contexts in</w:t>
      </w:r>
      <w:r>
        <w:t xml:space="preserve"> </w:t>
      </w:r>
      <w:r>
        <w:rPr>
          <w:bCs/>
          <w:b/>
        </w:rPr>
        <w:t xml:space="preserve">Russia Moscow</w:t>
      </w:r>
    </w:p>
    <w:p>
      <w:pPr>
        <w:pStyle w:val="FirstParagraph"/>
      </w:pPr>
      <w:r>
        <w:t xml:space="preserve">A Term Paper submitted for the study of Contemporary Higher Education Systems</w:t>
      </w:r>
    </w:p>
    <w:p>
      <w:pPr>
        <w:pStyle w:val="BodyText"/>
      </w:pPr>
      <w:r>
        <w:t xml:space="preserve">Date: October 2023</w:t>
      </w:r>
    </w:p>
    <w:p>
      <w:pPr>
        <w:pStyle w:val="BodyText"/>
      </w:pPr>
      <w:r>
        <w:br/>
      </w:r>
      <w:r>
        <w:br/>
      </w:r>
    </w:p>
    <w:p>
      <w:r>
        <w:pict>
          <v:rect style="width:0;height:1.5pt" o:hralign="center" o:hrstd="t" o:hr="t"/>
        </w:pict>
      </w:r>
    </w:p>
    <w:p>
      <w:pPr>
        <w:pStyle w:val="FirstParagraph"/>
      </w:pPr>
      <w:r>
        <w:br/>
      </w:r>
      <w:r>
        <w:br/>
      </w:r>
    </w:p>
    <w:bookmarkEnd w:id="20"/>
    <w:bookmarkEnd w:id="21"/>
    <w:bookmarkStart w:id="22" w:name="i.-introduction"/>
    <w:p>
      <w:pPr>
        <w:pStyle w:val="Heading1"/>
      </w:pPr>
      <w:r>
        <w:t xml:space="preserve">I. Introduction</w:t>
      </w:r>
    </w:p>
    <w:p>
      <w:pPr>
        <w:pStyle w:val="FirstParagraph"/>
      </w:pPr>
      <w:r>
        <w:t xml:space="preserve">The landscape of higher education and scientific inquiry has undergone significant transformations over the past few decades, particularly within the Eurasian context. This</w:t>
      </w:r>
      <w:r>
        <w:t xml:space="preserve"> </w:t>
      </w:r>
      <w:r>
        <w:rPr>
          <w:bCs/>
          <w:b/>
        </w:rPr>
        <w:t xml:space="preserve">Term Paper</w:t>
      </w:r>
      <w:r>
        <w:t xml:space="preserve">, titled "Academic Researcher," aims to dissect the multifaceted role, challenges, and opportunities facing scholars operating within one of Eastern Europe’s most critical intellectual hubs:</w:t>
      </w:r>
      <w:r>
        <w:t xml:space="preserve"> </w:t>
      </w:r>
      <w:r>
        <w:rPr>
          <w:bCs/>
          <w:b/>
        </w:rPr>
        <w:t xml:space="preserve">Russia Moscow</w:t>
      </w:r>
      <w:r>
        <w:t xml:space="preserve">. As a central node in the global knowledge economy,</w:t>
      </w:r>
      <w:r>
        <w:t xml:space="preserve"> </w:t>
      </w:r>
      <w:r>
        <w:rPr>
          <w:iCs/>
          <w:i/>
        </w:rPr>
        <w:t xml:space="preserve">Russia Moscow</w:t>
      </w:r>
      <w:r>
        <w:t xml:space="preserve"> </w:t>
      </w:r>
      <w:r>
        <w:t xml:space="preserve">houses some of the nation’s most prestigious universities and research institutes. Consequently, understanding the daily realities, institutional pressures, and future trajectories of the</w:t>
      </w:r>
      <w:r>
        <w:t xml:space="preserve"> </w:t>
      </w:r>
      <w:r>
        <w:rPr>
          <w:iCs/>
          <w:i/>
        </w:rPr>
        <w:t xml:space="preserve">Academic Researcher</w:t>
      </w:r>
      <w:r>
        <w:t xml:space="preserve"> </w:t>
      </w:r>
      <w:r>
        <w:t xml:space="preserve">in this specific geographic and political setting is essential for grasping the broader dynamics of Russian science.</w:t>
      </w:r>
      <w:r>
        <w:t xml:space="preserve"> </w:t>
      </w:r>
      <w:r>
        <w:t xml:space="preserve">The primary objective of this document is to analyze how global trends in scientific publication, international collaboration, and digitalization intersect with local traditions. In</w:t>
      </w:r>
      <w:r>
        <w:t xml:space="preserve"> </w:t>
      </w:r>
      <w:r>
        <w:rPr>
          <w:bCs/>
          <w:b/>
        </w:rPr>
        <w:t xml:space="preserve">Russia Moscow</w:t>
      </w:r>
      <w:r>
        <w:t xml:space="preserve">, the identity of an</w:t>
      </w:r>
      <w:r>
        <w:t xml:space="preserve"> </w:t>
      </w:r>
      <w:r>
        <w:rPr>
          <w:iCs/>
          <w:i/>
        </w:rPr>
        <w:t xml:space="preserve">Academic Researcher</w:t>
      </w:r>
      <w:r>
        <w:t xml:space="preserve"> </w:t>
      </w:r>
      <w:r>
        <w:t xml:space="preserve">is not merely a job title but a cultural status deeply embedded in Soviet-era legacies while simultaneously being reshaped by modern neoliberal university models. This paper argues that while institutional reforms have improved resource allocation, they have also introduced unprecedented performance metrics that redefine what it means to be a successful scholar today.</w:t>
      </w:r>
    </w:p>
    <w:bookmarkEnd w:id="22"/>
    <w:bookmarkStart w:id="23" w:name="X37c3c95fbdf3c0ca785b1753d7d2a70ca0916f5"/>
    <w:p>
      <w:pPr>
        <w:pStyle w:val="Heading1"/>
      </w:pPr>
      <w:r>
        <w:t xml:space="preserve">II. Historical Context and Institutional Framework</w:t>
      </w:r>
    </w:p>
    <w:p>
      <w:pPr>
        <w:pStyle w:val="FirstParagraph"/>
      </w:pPr>
      <w:r>
        <w:t xml:space="preserve">To understand the current state of the</w:t>
      </w:r>
      <w:r>
        <w:t xml:space="preserve"> </w:t>
      </w:r>
      <w:r>
        <w:rPr>
          <w:iCs/>
          <w:i/>
        </w:rPr>
        <w:t xml:space="preserve">Academic Researcher</w:t>
      </w:r>
      <w:r>
        <w:t xml:space="preserve">, one must first acknowledge the historical weight carried by institutions in</w:t>
      </w:r>
      <w:r>
        <w:t xml:space="preserve"> </w:t>
      </w:r>
      <w:r>
        <w:rPr>
          <w:bCs/>
          <w:b/>
        </w:rPr>
        <w:t xml:space="preserve">Russia Moscow</w:t>
      </w:r>
      <w:r>
        <w:t xml:space="preserve">. The Soviet system was characterized by a rigid separation between university teaching and scientific research, with major institutes often affiliated directly with the Academy of Sciences rather than universities. This created a dual-track system where pure researchers operated outside the classroom environment.</w:t>
      </w:r>
      <w:r>
        <w:t xml:space="preserve"> </w:t>
      </w:r>
      <w:r>
        <w:t xml:space="preserve">In recent years, reforms have sought to bridge this gap. In</w:t>
      </w:r>
      <w:r>
        <w:t xml:space="preserve"> </w:t>
      </w:r>
      <w:r>
        <w:rPr>
          <w:bCs/>
          <w:b/>
        </w:rPr>
        <w:t xml:space="preserve">Russia Moscow</w:t>
      </w:r>
      <w:r>
        <w:t xml:space="preserve">, elite institutions such as Lomonosov Moscow State University (MSU) and the Higher School of Economics (HSE) have aggressively pursued integration strategies. These universities aim to produce scholars who are not only prolific researchers but also effective educators. For the modern</w:t>
      </w:r>
      <w:r>
        <w:t xml:space="preserve"> </w:t>
      </w:r>
      <w:r>
        <w:rPr>
          <w:iCs/>
          <w:i/>
        </w:rPr>
        <w:t xml:space="preserve">Academic Researcher</w:t>
      </w:r>
      <w:r>
        <w:t xml:space="preserve"> </w:t>
      </w:r>
      <w:r>
        <w:t xml:space="preserve">in</w:t>
      </w:r>
      <w:r>
        <w:t xml:space="preserve"> </w:t>
      </w:r>
      <w:r>
        <w:rPr>
          <w:bCs/>
          <w:b/>
        </w:rPr>
        <w:t xml:space="preserve">Russia Moscow</w:t>
      </w:r>
      <w:r>
        <w:t xml:space="preserve">, this means a hybrid role that demands excellence in both publication and pedagogy. The pressure to publish in high-impact, international journals has increased dramatically, driven by national initiatives such as the "Program 5-100," which aimed to bring at least five Russian universities into the global top 100 rankings by 2020.</w:t>
      </w:r>
    </w:p>
    <w:bookmarkEnd w:id="23"/>
    <w:bookmarkStart w:id="24" w:name="Xddde32bdf002602d4e067ecd50ce713ac0528e3"/>
    <w:p>
      <w:pPr>
        <w:pStyle w:val="Heading1"/>
      </w:pPr>
      <w:r>
        <w:t xml:space="preserve">III. The Changing Profile of the Academic Researcher</w:t>
      </w:r>
    </w:p>
    <w:p>
      <w:pPr>
        <w:pStyle w:val="FirstParagraph"/>
      </w:pPr>
      <w:r>
        <w:t xml:space="preserve">The contemporary</w:t>
      </w:r>
      <w:r>
        <w:t xml:space="preserve"> </w:t>
      </w:r>
      <w:r>
        <w:rPr>
          <w:iCs/>
          <w:i/>
        </w:rPr>
        <w:t xml:space="preserve">Academic Researcher</w:t>
      </w:r>
      <w:r>
        <w:t xml:space="preserve"> </w:t>
      </w:r>
      <w:r>
        <w:t xml:space="preserve">in</w:t>
      </w:r>
      <w:r>
        <w:t xml:space="preserve"> </w:t>
      </w:r>
      <w:r>
        <w:rPr>
          <w:bCs/>
          <w:b/>
        </w:rPr>
        <w:t xml:space="preserve">Russia Moscow</w:t>
      </w:r>
      <w:r>
        <w:t xml:space="preserve"> </w:t>
      </w:r>
      <w:r>
        <w:t xml:space="preserve">faces a distinct set of expectations compared to their predecessors. Historically, career advancement was based on tenure and seniority within a single institute. Today, mobility is encouraged, and career progression is increasingly tied to quantifiable outputs. This shift has created a new breed of scholar who must navigate complex bureaucratic landscapes while maintaining high research standards.</w:t>
      </w:r>
      <w:r>
        <w:t xml:space="preserve"> </w:t>
      </w:r>
      <w:r>
        <w:t xml:space="preserve">One significant aspect of this evolution is the language barrier and the push for internationalization. While Russian remains the dominant language in domestic contexts, an</w:t>
      </w:r>
      <w:r>
        <w:t xml:space="preserve"> </w:t>
      </w:r>
      <w:r>
        <w:rPr>
          <w:iCs/>
          <w:i/>
        </w:rPr>
        <w:t xml:space="preserve">Academic Researcher</w:t>
      </w:r>
      <w:r>
        <w:t xml:space="preserve"> </w:t>
      </w:r>
      <w:r>
        <w:t xml:space="preserve">aiming for global recognition must publish in English. In</w:t>
      </w:r>
      <w:r>
        <w:t xml:space="preserve"> </w:t>
      </w:r>
      <w:r>
        <w:rPr>
          <w:bCs/>
          <w:b/>
        </w:rPr>
        <w:t xml:space="preserve">Russia Moscow</w:t>
      </w:r>
      <w:r>
        <w:t xml:space="preserve">, this has led to a bifurcation in academic discourse: a domestic sphere that addresses local policy and societal issues, and an international sphere focused on universal scientific questions. This duality requires scholars to possess high levels of linguistic proficiency and cultural adaptability, skills that are increasingly prioritized in hiring processes across the capital.</w:t>
      </w:r>
      <w:r>
        <w:t xml:space="preserve"> </w:t>
      </w:r>
      <w:r>
        <w:t xml:space="preserve">Furthermore, the role of funding has changed. The</w:t>
      </w:r>
      <w:r>
        <w:t xml:space="preserve"> </w:t>
      </w:r>
      <w:r>
        <w:rPr>
          <w:iCs/>
          <w:i/>
        </w:rPr>
        <w:t xml:space="preserve">Academic Researcher</w:t>
      </w:r>
      <w:r>
        <w:t xml:space="preserve"> </w:t>
      </w:r>
      <w:r>
        <w:t xml:space="preserve">is no longer a passive recipient of state stipends but an active competitor for grants from agencies such as the Russian Science Foundation (RSF) and international bodies like Horizon Europe (prior to recent sanctions). This competitive environment fosters innovation but also creates significant stress, often referred to as "publish or perish" dynamics.</w:t>
      </w:r>
    </w:p>
    <w:bookmarkEnd w:id="24"/>
    <w:bookmarkStart w:id="25" w:name="iv.-challenges-in-the-modern-ecosystem"/>
    <w:p>
      <w:pPr>
        <w:pStyle w:val="Heading1"/>
      </w:pPr>
      <w:r>
        <w:t xml:space="preserve">IV. Challenges in the Modern Ecosystem</w:t>
      </w:r>
    </w:p>
    <w:p>
      <w:pPr>
        <w:pStyle w:val="FirstParagraph"/>
      </w:pPr>
      <w:r>
        <w:t xml:space="preserve">Despite technological advancements and increased funding streams,</w:t>
      </w:r>
      <w:r>
        <w:t xml:space="preserve"> </w:t>
      </w:r>
      <w:r>
        <w:rPr>
          <w:iCs/>
          <w:i/>
        </w:rPr>
        <w:t xml:space="preserve">Academic Researchers</w:t>
      </w:r>
      <w:r>
        <w:t xml:space="preserve"> </w:t>
      </w:r>
      <w:r>
        <w:t xml:space="preserve">in</w:t>
      </w:r>
      <w:r>
        <w:t xml:space="preserve"> </w:t>
      </w:r>
      <w:r>
        <w:rPr>
          <w:bCs/>
          <w:b/>
        </w:rPr>
        <w:t xml:space="preserve">Russia Moscow</w:t>
      </w:r>
      <w:r>
        <w:t xml:space="preserve"> </w:t>
      </w:r>
      <w:r>
        <w:t xml:space="preserve">face substantial challenges. The first major hurdle is geopolitical isolation. Recent years have seen a deterioration of relations between Russia and Western nations, leading to restricted access to certain scientific databases, equipment, and collaborative opportunities. For an</w:t>
      </w:r>
      <w:r>
        <w:t xml:space="preserve"> </w:t>
      </w:r>
      <w:r>
        <w:rPr>
          <w:iCs/>
          <w:i/>
        </w:rPr>
        <w:t xml:space="preserve">Academic Researcher</w:t>
      </w:r>
      <w:r>
        <w:t xml:space="preserve">, this means that traditional pathways for international co-authorship are becoming more difficult to navigate.</w:t>
      </w:r>
      <w:r>
        <w:t xml:space="preserve"> </w:t>
      </w:r>
      <w:r>
        <w:t xml:space="preserve">Additionally, there is the challenge of retaining top talent. Brain drain has been a persistent issue in Russian academia for decades, but recent political climates have accelerated the emigration of young scholars to Europe and North America. This loss of human capital affects not only individual</w:t>
      </w:r>
      <w:r>
        <w:t xml:space="preserve"> </w:t>
      </w:r>
      <w:r>
        <w:rPr>
          <w:iCs/>
          <w:i/>
        </w:rPr>
        <w:t xml:space="preserve">Academic Researcher</w:t>
      </w:r>
      <w:r>
        <w:t xml:space="preserve"> </w:t>
      </w:r>
      <w:r>
        <w:t xml:space="preserve">careers but also the collective intellectual capacity of institutions in</w:t>
      </w:r>
      <w:r>
        <w:t xml:space="preserve"> </w:t>
      </w:r>
      <w:r>
        <w:rPr>
          <w:bCs/>
          <w:b/>
        </w:rPr>
        <w:t xml:space="preserve">Russia Moscow</w:t>
      </w:r>
      <w:r>
        <w:t xml:space="preserve">. The remaining scholars must often absorb higher workloads to compensate for these gaps, potentially leading to burnout and decreased research quality.</w:t>
      </w:r>
      <w:r>
        <w:t xml:space="preserve"> </w:t>
      </w:r>
      <w:r>
        <w:t xml:space="preserve">Ethical considerations also play a crucial role. As competition for grants intensifies, there are growing concerns regarding ethical compliance in research practices. Institutions in</w:t>
      </w:r>
      <w:r>
        <w:t xml:space="preserve"> </w:t>
      </w:r>
      <w:r>
        <w:rPr>
          <w:bCs/>
          <w:b/>
        </w:rPr>
        <w:t xml:space="preserve">Russia Moscow</w:t>
      </w:r>
      <w:r>
        <w:t xml:space="preserve"> </w:t>
      </w:r>
      <w:r>
        <w:t xml:space="preserve">have established committees to oversee research ethics, ensuring that the work of every</w:t>
      </w:r>
      <w:r>
        <w:t xml:space="preserve"> </w:t>
      </w:r>
      <w:r>
        <w:rPr>
          <w:iCs/>
          <w:i/>
        </w:rPr>
        <w:t xml:space="preserve">Academic Researcher</w:t>
      </w:r>
      <w:r>
        <w:t xml:space="preserve"> </w:t>
      </w:r>
      <w:r>
        <w:t xml:space="preserve">meets international standards of integrity and reproducibility.</w:t>
      </w:r>
    </w:p>
    <w:bookmarkEnd w:id="25"/>
    <w:bookmarkStart w:id="26" w:name="v.-opportunities-and-future-directions"/>
    <w:p>
      <w:pPr>
        <w:pStyle w:val="Heading1"/>
      </w:pPr>
      <w:r>
        <w:t xml:space="preserve">V. Opportunities and Future Directions</w:t>
      </w:r>
    </w:p>
    <w:p>
      <w:pPr>
        <w:pStyle w:val="FirstParagraph"/>
      </w:pPr>
      <w:r>
        <w:t xml:space="preserve">Amidst these challenges lie significant opportunities. The digital transformation of science offers</w:t>
      </w:r>
      <w:r>
        <w:t xml:space="preserve"> </w:t>
      </w:r>
      <w:r>
        <w:rPr>
          <w:iCs/>
          <w:i/>
        </w:rPr>
        <w:t xml:space="preserve">Academic Researchers</w:t>
      </w:r>
      <w:r>
        <w:t xml:space="preserve"> </w:t>
      </w:r>
      <w:r>
        <w:t xml:space="preserve">new tools for data analysis, remote collaboration, and open-access publishing. In</w:t>
      </w:r>
      <w:r>
        <w:t xml:space="preserve"> </w:t>
      </w:r>
      <w:r>
        <w:rPr>
          <w:bCs/>
          <w:b/>
        </w:rPr>
        <w:t xml:space="preserve">Russia Moscow</w:t>
      </w:r>
      <w:r>
        <w:t xml:space="preserve">, there is a strong government push towards digital infrastructure development, which can enhance the efficiency of research workflows.</w:t>
      </w:r>
      <w:r>
        <w:t xml:space="preserve"> </w:t>
      </w:r>
      <w:r>
        <w:t xml:space="preserve">Moreover, there is a growing emphasis on interdisciplinary research. Complex global problems require solutions that cross traditional boundaries between natural sciences, social sciences, and humanities.</w:t>
      </w:r>
      <w:r>
        <w:t xml:space="preserve"> </w:t>
      </w:r>
      <w:r>
        <w:rPr>
          <w:iCs/>
          <w:i/>
        </w:rPr>
        <w:t xml:space="preserve">Academic Researchers</w:t>
      </w:r>
      <w:r>
        <w:t xml:space="preserve"> </w:t>
      </w:r>
      <w:r>
        <w:t xml:space="preserve">in</w:t>
      </w:r>
      <w:r>
        <w:t xml:space="preserve"> </w:t>
      </w:r>
      <w:r>
        <w:rPr>
          <w:bCs/>
          <w:b/>
        </w:rPr>
        <w:t xml:space="preserve">Russia Moscow</w:t>
      </w:r>
      <w:r>
        <w:t xml:space="preserve"> </w:t>
      </w:r>
      <w:r>
        <w:t xml:space="preserve">are increasingly finding themselves at the intersection of these fields, fostering innovation through collaboration. For instance, projects combining computer science with linguistics or biology with ethics are gaining traction in major university hubs.</w:t>
      </w:r>
      <w:r>
        <w:t xml:space="preserve"> </w:t>
      </w:r>
      <w:r>
        <w:t xml:space="preserve">The focus on "mission-oriented" research is also reshaping the role of the scholar. Rather than pure curiosity-driven inquiry alone, there is a greater expectation for</w:t>
      </w:r>
      <w:r>
        <w:t xml:space="preserve"> </w:t>
      </w:r>
      <w:r>
        <w:rPr>
          <w:iCs/>
          <w:i/>
        </w:rPr>
        <w:t xml:space="preserve">Academic Researchers</w:t>
      </w:r>
      <w:r>
        <w:t xml:space="preserve"> </w:t>
      </w:r>
      <w:r>
        <w:t xml:space="preserve">to contribute to national strategic goals, such as technological sovereignty and public health improvements. This alignment with national priorities can provide stable funding avenues but must be balanced with academic freedom.</w:t>
      </w:r>
    </w:p>
    <w:bookmarkEnd w:id="26"/>
    <w:bookmarkStart w:id="28" w:name="vi.-conclusion"/>
    <w:p>
      <w:pPr>
        <w:pStyle w:val="Heading1"/>
      </w:pPr>
      <w:r>
        <w:t xml:space="preserve">VI. Conclusion</w:t>
      </w:r>
    </w:p>
    <w:p>
      <w:pPr>
        <w:pStyle w:val="FirstParagraph"/>
      </w:pPr>
      <w:r>
        <w:t xml:space="preserve">In conclusion, the identity of the</w:t>
      </w:r>
      <w:r>
        <w:t xml:space="preserve"> </w:t>
      </w:r>
      <w:r>
        <w:rPr>
          <w:iCs/>
          <w:i/>
        </w:rPr>
        <w:t xml:space="preserve">Academic Researcher</w:t>
      </w:r>
      <w:r>
        <w:t xml:space="preserve"> </w:t>
      </w:r>
      <w:r>
        <w:t xml:space="preserve">in</w:t>
      </w:r>
      <w:r>
        <w:t xml:space="preserve"> </w:t>
      </w:r>
      <w:r>
        <w:rPr>
          <w:bCs/>
          <w:b/>
        </w:rPr>
        <w:t xml:space="preserve">Russia Moscow</w:t>
      </w:r>
      <w:r>
        <w:t xml:space="preserve"> </w:t>
      </w:r>
      <w:r>
        <w:t xml:space="preserve">is undergoing a profound transformation. This</w:t>
      </w:r>
      <w:r>
        <w:t xml:space="preserve"> </w:t>
      </w:r>
      <w:r>
        <w:rPr>
          <w:bCs/>
          <w:b/>
        </w:rPr>
        <w:t xml:space="preserve">Term Paper</w:t>
      </w:r>
      <w:r>
        <w:t xml:space="preserve">, titled "Academic Researcher," has explored how historical legacies, institutional reforms, and global pressures interact to shape the professional lives of scholars in this dynamic region. The modern academic in</w:t>
      </w:r>
      <w:r>
        <w:t xml:space="preserve"> </w:t>
      </w:r>
      <w:r>
        <w:rPr>
          <w:iCs/>
          <w:i/>
        </w:rPr>
        <w:t xml:space="preserve">Russia Moscow</w:t>
      </w:r>
      <w:r>
        <w:t xml:space="preserve"> </w:t>
      </w:r>
      <w:r>
        <w:t xml:space="preserve">is expected to be bilingual, internationally connected yet locally relevant, and highly productive.</w:t>
      </w:r>
      <w:r>
        <w:t xml:space="preserve"> </w:t>
      </w:r>
      <w:r>
        <w:t xml:space="preserve">While challenges such as geopolitical isolation and talent retention pose serious threats to the stability of the research ecosystem, opportunities for digital integration and interdisciplinary collaboration offer hope for a vibrant future. For policy makers and institutional leaders in</w:t>
      </w:r>
      <w:r>
        <w:t xml:space="preserve"> </w:t>
      </w:r>
      <w:r>
        <w:rPr>
          <w:bCs/>
          <w:b/>
        </w:rPr>
        <w:t xml:space="preserve">Russia Moscow</w:t>
      </w:r>
      <w:r>
        <w:t xml:space="preserve">, supporting the well-being, autonomy, and global connectivity of their</w:t>
      </w:r>
      <w:r>
        <w:t xml:space="preserve"> </w:t>
      </w:r>
      <w:r>
        <w:rPr>
          <w:iCs/>
          <w:i/>
        </w:rPr>
        <w:t xml:space="preserve">Academic Researchers</w:t>
      </w:r>
      <w:r>
        <w:t xml:space="preserve"> </w:t>
      </w:r>
      <w:r>
        <w:t xml:space="preserve">is paramount. Only by fostering an environment that values both individual scholarly excellence and collective strategic direction can</w:t>
      </w:r>
      <w:r>
        <w:t xml:space="preserve"> </w:t>
      </w:r>
      <w:r>
        <w:rPr>
          <w:bCs/>
          <w:b/>
        </w:rPr>
        <w:t xml:space="preserve">Russia Moscow</w:t>
      </w:r>
      <w:r>
        <w:t xml:space="preserve"> </w:t>
      </w:r>
      <w:r>
        <w:t xml:space="preserve">maintain its status as a significant center of global knowledge production in the 21st century.</w:t>
      </w:r>
      <w:r>
        <w:br/>
      </w:r>
      <w:r>
        <w:br/>
      </w:r>
    </w:p>
    <w:p>
      <w:r>
        <w:pict>
          <v:rect style="width:0;height:1.5pt" o:hralign="center" o:hrstd="t" o:hr="t"/>
        </w:pict>
      </w:r>
    </w:p>
    <w:p>
      <w:pPr>
        <w:pStyle w:val="FirstParagraph"/>
      </w:pPr>
      <w:r>
        <w:br/>
      </w:r>
    </w:p>
    <w:bookmarkStart w:id="27" w:name="Xc9783f26398a477f234cc292b14a2224dfcf881"/>
    <w:p>
      <w:pPr>
        <w:pStyle w:val="Heading3"/>
      </w:pPr>
      <w:r>
        <w:t xml:space="preserve">VII. Bibliography (Selected References for Context)</w:t>
      </w:r>
    </w:p>
    <w:p>
      <w:pPr>
        <w:pStyle w:val="FirstParagraph"/>
      </w:pPr>
      <w:r>
        <w:t xml:space="preserve">Note: As this is a generated</w:t>
      </w:r>
      <w:r>
        <w:t xml:space="preserve"> </w:t>
      </w:r>
      <w:r>
        <w:rPr>
          <w:bCs/>
          <w:b/>
        </w:rPr>
        <w:t xml:space="preserve">Term Paper</w:t>
      </w:r>
      <w:r>
        <w:t xml:space="preserve">, references are illustrative of the topics discussed regarding the</w:t>
      </w:r>
      <w:r>
        <w:t xml:space="preserve"> </w:t>
      </w:r>
      <w:r>
        <w:rPr>
          <w:iCs/>
          <w:i/>
        </w:rPr>
        <w:t xml:space="preserve">Academic Researcher</w:t>
      </w:r>
      <w:r>
        <w:t xml:space="preserve">.</w:t>
      </w:r>
      <w:r>
        <w:br/>
      </w:r>
      <w:r>
        <w:br/>
      </w:r>
      <w:r>
        <w:t xml:space="preserve">1. Ministry of Science and Higher Education of the Russian Federation. (2023). *Strategic Academic Leadership Initiative*. Moscow.</w:t>
      </w:r>
      <w:r>
        <w:br/>
      </w:r>
      <w:r>
        <w:t xml:space="preserve">2. Shmatko, N., et al. (2015). "The 5-Top 100 Project: Assessing the Impact on Russian Universities."</w:t>
      </w:r>
      <w:r>
        <w:t xml:space="preserve"> </w:t>
      </w:r>
      <w:r>
        <w:rPr>
          <w:iCs/>
          <w:i/>
        </w:rPr>
        <w:t xml:space="preserve">Higher Education in Russia</w:t>
      </w:r>
      <w:r>
        <w:t xml:space="preserve">.</w:t>
      </w:r>
      <w:r>
        <w:br/>
      </w:r>
      <w:r>
        <w:t xml:space="preserve">3. Russian Science Foundation Annual Report. (2022). *Grant Allocation and Research Output*. Moscow.</w:t>
      </w:r>
      <w:r>
        <w:br/>
      </w:r>
      <w:r>
        <w:t xml:space="preserve">4. Shapira, Z., &amp; Shishkin, V. (2019). "Institutional Change in Russian Higher Education."</w:t>
      </w:r>
      <w:r>
        <w:t xml:space="preserve"> </w:t>
      </w:r>
      <w:r>
        <w:rPr>
          <w:iCs/>
          <w:i/>
        </w:rPr>
        <w:t xml:space="preserve">Euro-Asian Journal of Regional Studies</w:t>
      </w:r>
      <w:r>
        <w:t xml:space="preserve">.</w:t>
      </w:r>
      <w:r>
        <w:br/>
      </w:r>
      <w:r>
        <w:t xml:space="preserve">5. Various interviews and surveys conducted by the Institute for Statistics at HSE regarding the working conditions of</w:t>
      </w:r>
      <w:r>
        <w:t xml:space="preserve"> </w:t>
      </w:r>
      <w:r>
        <w:rPr>
          <w:iCs/>
          <w:i/>
        </w:rPr>
        <w:t xml:space="preserve">Academic Researchers</w:t>
      </w:r>
      <w:r>
        <w:t xml:space="preserve"> </w:t>
      </w:r>
      <w:r>
        <w:t xml:space="preserve">in</w:t>
      </w:r>
      <w:r>
        <w:t xml:space="preserve"> </w:t>
      </w:r>
      <w:r>
        <w:rPr>
          <w:bCs/>
          <w:b/>
        </w:rPr>
        <w:t xml:space="preserve">Russia Moscow</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Russia Moscow</dc:title>
  <dc:creator/>
  <dc:language>en</dc:language>
  <cp:keywords/>
  <dcterms:created xsi:type="dcterms:W3CDTF">2026-07-29T21:28:57Z</dcterms:created>
  <dcterms:modified xsi:type="dcterms:W3CDTF">2026-07-29T21:28:57Z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